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20"/>
        <w:jc w:val="center"/>
      </w:pPr>
      <w:r>
        <w:rPr>
          <w:rFonts w:ascii="Times New Roman" w:hAnsi="Times New Roman"/>
          <w:b/>
          <w:i w:val="0"/>
          <w:color w:val="000000"/>
          <w:sz w:val="24"/>
        </w:rPr>
        <w:t>2026-2027 Eğitim Öğretim Yılı</w:t>
      </w:r>
    </w:p>
    <w:p>
      <w:pPr>
        <w:spacing w:after="20"/>
        <w:jc w:val="center"/>
      </w:pPr>
      <w:r>
        <w:rPr>
          <w:rFonts w:ascii="Times New Roman" w:hAnsi="Times New Roman"/>
          <w:b w:val="1"/>
          <w:i w:val="0"/>
          <w:color w:val="FF0000"/>
          <w:sz w:val="24"/>
        </w:rPr>
        <w:t>fenbilgihanem/fenbilimleri.org</w:t>
      </w:r>
      <w:r>
        <w:rPr>
          <w:rFonts w:ascii="Times New Roman" w:hAnsi="Times New Roman"/>
          <w:b/>
          <w:i w:val="0"/>
          <w:color w:val="000000"/>
          <w:sz w:val="24"/>
        </w:rPr>
        <w:t xml:space="preserve"> ................... ORTAOKULU</w:t>
      </w:r>
    </w:p>
    <w:p>
      <w:pPr>
        <w:spacing w:after="100"/>
        <w:jc w:val="center"/>
      </w:pPr>
      <w:r/>
      <w:r>
        <w:rPr>
          <w:rFonts w:ascii="Times New Roman" w:hAnsi="Times New Roman"/>
          <w:b/>
          <w:color w:val="000000"/>
          <w:sz w:val="24"/>
        </w:rPr>
        <w:t>5. Sınıf Fen Bilimleri Dersi 21.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Hafta</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21. Hafta</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Tarih</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22-26 Şubat 2027</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Ders</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Fen Bilimleri</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Sınıf/Şube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5/……</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Ünite</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Işığın Dünyası</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Süre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4 ders saati</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Konu</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Madde ve Işık</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Okul Temelli Planlama</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w:t>
            </w:r>
          </w:p>
        </w:tc>
      </w:tr>
    </w:tbl>
    <w:p>
      <w:pPr>
        <w:spacing w:before="60" w:after="40"/>
      </w:pPr>
      <w:r>
        <w:rPr>
          <w:rFonts w:ascii="Times New Roman" w:hAnsi="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Öğrenme Çıktısı</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color w:val="000000"/>
                <w:sz w:val="24"/>
              </w:rPr>
              <w:t xml:space="preserve">FB.5.4.2. </w:t>
            </w:r>
            <w:r>
              <w:rPr>
                <w:rFonts w:ascii="Times New Roman" w:hAnsi="Times New Roman"/>
                <w:b w:val="0"/>
                <w:color w:val="000000"/>
                <w:sz w:val="24"/>
              </w:rPr>
              <w:t>Maddeleri ışığı geçirme durumlarına göre sınıflandırabilme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Süreç Bileşenleri</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color w:val="000000"/>
                <w:sz w:val="24"/>
              </w:rPr>
              <w:t xml:space="preserve">FB.5.4.2. a) </w:t>
            </w:r>
            <w:r>
              <w:rPr>
                <w:rFonts w:ascii="Times New Roman" w:hAnsi="Times New Roman"/>
                <w:b w:val="0"/>
                <w:color w:val="000000"/>
                <w:sz w:val="24"/>
              </w:rPr>
              <w:t>Maddelerin ışığı geçirme durumlarına göre niteliklerini belirler.</w:t>
            </w:r>
          </w:p>
          <w:p>
            <w:pPr>
              <w:spacing w:before="0" w:after="20" w:line="240" w:lineRule="auto"/>
            </w:pPr>
            <w:r>
              <w:rPr>
                <w:rFonts w:ascii="Times New Roman" w:hAnsi="Times New Roman"/>
                <w:b/>
                <w:color w:val="000000"/>
                <w:sz w:val="24"/>
              </w:rPr>
              <w:t xml:space="preserve">b) </w:t>
            </w:r>
            <w:r>
              <w:rPr>
                <w:rFonts w:ascii="Times New Roman" w:hAnsi="Times New Roman"/>
                <w:b w:val="0"/>
                <w:color w:val="000000"/>
                <w:sz w:val="24"/>
              </w:rPr>
              <w:t>Maddeleri ışığı geçirme durumlarına göre ayrıştırır.</w:t>
            </w:r>
          </w:p>
          <w:p>
            <w:pPr>
              <w:spacing w:before="0" w:after="20" w:line="240" w:lineRule="auto"/>
            </w:pPr>
            <w:r>
              <w:rPr>
                <w:rFonts w:ascii="Times New Roman" w:hAnsi="Times New Roman"/>
                <w:b/>
                <w:color w:val="000000"/>
                <w:sz w:val="24"/>
              </w:rPr>
              <w:t xml:space="preserve">c) </w:t>
            </w:r>
            <w:r>
              <w:rPr>
                <w:rFonts w:ascii="Times New Roman" w:hAnsi="Times New Roman"/>
                <w:b w:val="0"/>
                <w:color w:val="000000"/>
                <w:sz w:val="24"/>
              </w:rPr>
              <w:t>Maddeleri ışığı geçirme durumlarına göre gruplandırır.</w:t>
            </w:r>
          </w:p>
          <w:p>
            <w:pPr>
              <w:spacing w:before="0" w:after="20" w:line="240" w:lineRule="auto"/>
            </w:pPr>
            <w:r>
              <w:rPr>
                <w:rFonts w:ascii="Times New Roman" w:hAnsi="Times New Roman"/>
                <w:b/>
                <w:color w:val="000000"/>
                <w:sz w:val="24"/>
              </w:rPr>
              <w:t xml:space="preserve">ç) </w:t>
            </w:r>
            <w:r>
              <w:rPr>
                <w:rFonts w:ascii="Times New Roman" w:hAnsi="Times New Roman"/>
                <w:b w:val="0"/>
                <w:color w:val="000000"/>
                <w:sz w:val="24"/>
              </w:rPr>
              <w:t>Maddeleri ışığı geçirme durumlarına göre etiketler.</w:t>
            </w:r>
          </w:p>
        </w:tc>
      </w:tr>
    </w:tbl>
    <w:p>
      <w:pPr>
        <w:spacing w:before="60" w:after="40"/>
      </w:pPr>
      <w:r>
        <w:rPr>
          <w:rFonts w:ascii="Times New Roman" w:hAnsi="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Alan ve Kavramsal Beceriler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FBAB1. Bilimsel Gözlem, FBAB2. Sınıflandırma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Beceriler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KB2.6. Bilgi Toplama, KB2.7. Karşılaştırma, KB2.9. Genelleme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Eğilimler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E1.2. Bağımsızlık, E2.5. Oyunseverlik, E3.7. Sistematiklik</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Sosyal-Duygusal Öğrenme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SDB1.2. Kendini Düzenleme (Öz Düzenleme), SDB2.1. İletişim</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Değerler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D3. Çalışkanlık, D10. Mütevazılık, D16. Sorumluluk</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Okuryazarlık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OB1. Bilgi Okuryazarlığı, OB2. Dijital Okuryazarlık, OB7. Veri Okuryazarlığı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Disiplinler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Görsel Sanatlar, Matematik</w:t>
            </w:r>
          </w:p>
        </w:tc>
      </w:tr>
    </w:tbl>
    <w:p>
      <w:pPr>
        <w:spacing w:before="60" w:after="40"/>
      </w:pPr>
      <w:r>
        <w:rPr>
          <w:rFonts w:ascii="Times New Roman" w:hAnsi="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Yöntem ve Teknikler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Soru-cevap, bilimsel gözlem, karşılaştırma, veri kaydetme, sınıflandırma, etiketleme, kavram haritası, grup çalışması ve tartışma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Araç ve Gereçler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5. sınıf Fen Bilimleri ders kitabı, güvenli LED el feneri, şeffaf plastik levha, buzlu dosya, yağlı kâğıt, ince tül, karton, kitap, alüminyum folyo, beyaz ekran, gözlem tablosu ve etiket kartları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Belirli Gün ve Haftalar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Temel Kavramlar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Işık geçirgenliği, saydam madde, yarı saydam madde, saydam olmayan (opak) madde, net görünme ve bulanık görünme</w:t>
            </w:r>
          </w:p>
        </w:tc>
      </w:tr>
    </w:tbl>
    <w:p>
      <w:pPr>
        <w:spacing w:before="0" w:after="0"/>
      </w:pPr>
      <w:r>
        <w:br w:type="page"/>
      </w:r>
    </w:p>
    <w:p>
      <w:pPr>
        <w:pageBreakBefore w:val="0"/>
        <w:spacing w:before="60" w:after="40"/>
      </w:pPr>
      <w:r>
        <w:rPr>
          <w:rFonts w:ascii="Times New Roman" w:hAnsi="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Temel Kabuller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Öğrencilerin ışığın kaynaktan her yöne doğrusal yollar izleyerek yayıldığını ve farklı maddelerle karşılaştığında farklı sonuçların gözlenebildiğini bildikleri kabul edilir.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Ön Değerlendirme Süreci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Farklı perde ve pencere türlerinin bir ortamı aydınlatma ve arkadaki varlıkları gösterme durumları üzerinden öğrencilerin ön bilgileri belirlenir.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Köprü Kurma</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Evlerde ince tül, kalın perde ve pencere camının farklı amaçlarla kullanılması ile maddelerin ışığı farklı oranlarda geçirmesi arasında bağlantı kurulur.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Öğrenme Ortamı</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Sınıf veya laboratuvar; kırılabilir cam yerine güvenli plastik örneklerin kullanıldığı, LED ışık kaynaklarının göze yöneltilmediği ve ortamın düzenli tutulduğu öğrenme ortamı</w:t>
            </w:r>
          </w:p>
        </w:tc>
      </w:tr>
    </w:tbl>
    <w:p>
      <w:pPr>
        <w:spacing w:before="60" w:after="40"/>
      </w:pPr>
      <w:r>
        <w:rPr>
          <w:rFonts w:ascii="Times New Roman" w:hAnsi="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
              <w:rPr>
                <w:rFonts w:ascii="Times New Roman" w:hAnsi="Times New Roman"/>
                <w:b w:val="0"/>
                <w:color w:val="000000"/>
                <w:sz w:val="24"/>
              </w:rPr>
              <w:t>Günlük yaşamdan seçilen güvenli maddelerin ışığı geçirme durumları hakkında tahminler alınır. Maddeler aynı LED ışık kaynağı ve ekranla benzer koşullarda incelenerek ışığı geçirme, kısmen geçirme veya geçirmeme durumları gözlem tablosuna kaydedilir.</w:t>
            </w:r>
          </w:p>
          <w:p>
            <w:pPr>
              <w:spacing w:before="0" w:after="20" w:line="240" w:lineRule="auto"/>
            </w:pPr>
            <w:r>
              <w:rPr>
                <w:rFonts w:ascii="Times New Roman" w:hAnsi="Times New Roman"/>
                <w:b w:val="0"/>
                <w:color w:val="000000"/>
                <w:sz w:val="24"/>
              </w:rPr>
              <w:t>Gözlem sonuçlarından hareketle maddelerin ışık geçirgenliğine ilişkin nitelikleri belirlenir. Arkasındaki varlıkların net görüldüğü maddeler saydam, bulanık görüldüğü maddeler yarı saydam, görülmediği maddeler saydam olmayan (opak) olarak ayrıştırılır.</w:t>
            </w:r>
          </w:p>
          <w:p>
            <w:pPr>
              <w:spacing w:before="0" w:after="20" w:line="240" w:lineRule="auto"/>
            </w:pPr>
            <w:r>
              <w:rPr>
                <w:rFonts w:ascii="Times New Roman" w:hAnsi="Times New Roman"/>
                <w:b w:val="0"/>
                <w:color w:val="000000"/>
                <w:sz w:val="24"/>
              </w:rPr>
              <w:t>Maddeler saydam, yarı saydam ve saydam olmayan (opak) başlıkları altında gruplandırılır ve etiketlenir. Gruplar kendi tablolarını karşılaştırarak farklı sonuçların nedenlerini tartışır; saydam ve yarı saydam maddelerde kalınlık arttıkça ışık geçirgenliğinin azalabileceği belirtilir.</w:t>
            </w:r>
          </w:p>
          <w:p>
            <w:pPr>
              <w:spacing w:before="0" w:after="20" w:line="240" w:lineRule="auto"/>
            </w:pPr>
            <w:r>
              <w:rPr>
                <w:rFonts w:ascii="Times New Roman" w:hAnsi="Times New Roman"/>
                <w:b w:val="0"/>
                <w:color w:val="000000"/>
                <w:sz w:val="24"/>
              </w:rPr>
              <w:t>Günlük yaşam örnekleri uygun gruplara yerleştirilerek kavram haritası tamamlanır. Sınıflandırmalar eşleştirme, çalışma kâğıdı ve kontrol listesiyle değerlendirilir; bilimsel olarak eksik veya hatalı etiketler düzeltilir.</w:t>
            </w:r>
          </w:p>
        </w:tc>
      </w:tr>
    </w:tbl>
    <w:p>
      <w:pPr>
        <w:spacing w:before="60" w:after="40"/>
      </w:pPr>
      <w:r>
        <w:rPr>
          <w:rFonts w:ascii="Times New Roman" w:hAnsi="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Gözlem ve Veri</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Maddelerin ışığı geçirme durumlarını aynı koşullarda karşılaştıran gözlem tablosu</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Sınıflandırma</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Maddeleri saydam, yarı saydam ve saydam olmayan (opak) olarak doğru gruplandıran ve etiketleyen çalışma</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color w:val="000000"/>
                <w:sz w:val="24"/>
              </w:rPr>
              <w:t>Değerlendirme</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Kavram haritası, eşleştirme soruları, çalışma kâğıdı ve kontrol listesi</w:t>
            </w:r>
          </w:p>
        </w:tc>
      </w:tr>
    </w:tbl>
    <w:p>
      <w:pPr>
        <w:spacing w:before="60" w:after="40"/>
      </w:pPr>
      <w:r>
        <w:rPr>
          <w:rFonts w:ascii="Times New Roman" w:hAnsi="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Destekleme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Işığı geçirme durumları net-bulanık-görülmez görsel ipuçlarıyla sunulur. Başlıkları hazır sınıflandırma tablosu ve örnek kartları kullanılabilir.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i w:val="0"/>
                <w:color w:val="000000"/>
                <w:sz w:val="24"/>
              </w:rPr>
              <w:t>Zenginleştirme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color w:val="000000"/>
                <w:sz w:val="24"/>
              </w:rPr>
              <w:t>Öğrenciler günlük yaşamda saydam, yarı saydam ve opak maddelerin seçilme amaçlarını araştırarak örneklerini gerekçeli bir poster üzerinde sınıflandırabilir.</w:t>
            </w:r>
          </w:p>
        </w:tc>
      </w:tr>
    </w:tbl>
    <w:p>
      <w:pPr>
        <w:spacing w:before="60" w:after="40"/>
      </w:pPr>
      <w:r>
        <w:rPr>
          <w:rFonts w:ascii="Times New Roman" w:hAnsi="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i w:val="0"/>
                <w:color w:val="000000"/>
                <w:sz w:val="24"/>
              </w:rPr>
              <w:t>Öğrencilerin zorlandığı bölüm ve bir sonraki ders için düzenleme:</w:t>
              <w:br/>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
              <w:rPr>
                <w:rFonts w:ascii="Times New Roman" w:hAnsi="Times New Roman"/>
                <w:b w:val="0"/>
                <w:i w:val="0"/>
                <w:color w:val="000000"/>
                <w:sz w:val="24"/>
              </w:rPr>
              <w:t>Planın uygulanmasına ilişkin diğer açıklamalar:</w:t>
              <w:br/>
            </w:r>
          </w:p>
        </w:tc>
      </w:tr>
      <w:tr>
        <w:trPr>
          <w:cantSplit/>
        </w:trP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
              <w:rPr>
                <w:rFonts w:ascii="Times New Roman" w:hAnsi="Times New Roman"/>
                <w:b/>
                <w:i w:val="0"/>
                <w:color w:val="000000"/>
                <w:sz w:val="24"/>
              </w:rPr>
              <w:t>Fen Bilimleri Öğretmeni</w:t>
              <w:br/>
              <w:t>Ad Soyad ve İmza</w:t>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
              <w:rPr>
                <w:rFonts w:ascii="Times New Roman" w:hAnsi="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16.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