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40" w:lineRule="auto"/>
        <w:jc w:val="center"/>
      </w:pPr>
      <w:r>
        <w:rPr>
          <w:rFonts w:ascii="Arial" w:hAnsi="Arial" w:eastAsia="Arial"/>
          <w:b/>
          <w:color w:val="000000"/>
          <w:sz w:val="22"/>
        </w:rPr>
        <w:t>T.C.</w:t>
      </w:r>
    </w:p>
    <w:p>
      <w:pPr>
        <w:spacing w:after="40" w:line="240" w:lineRule="auto"/>
        <w:jc w:val="center"/>
      </w:pPr>
      <w:r>
        <w:rPr>
          <w:rFonts w:ascii="Arial" w:hAnsi="Arial" w:eastAsia="Arial"/>
          <w:b/>
          <w:color w:val="000000"/>
          <w:sz w:val="22"/>
        </w:rPr>
        <w:t>……………………………… KAYMAKAMLIĞI</w:t>
      </w:r>
    </w:p>
    <w:p>
      <w:pPr>
        <w:spacing w:after="140" w:line="240" w:lineRule="auto"/>
        <w:jc w:val="center"/>
      </w:pPr>
      <w:r>
        <w:rPr>
          <w:rFonts w:ascii="Arial" w:hAnsi="Arial" w:eastAsia="Arial"/>
          <w:b/>
          <w:color w:val="000000"/>
          <w:sz w:val="22"/>
        </w:rPr>
        <w:t>İLÇE MİLLÎ EĞİTİM MÜDÜRLÜĞÜ</w:t>
      </w:r>
    </w:p>
    <w:p>
      <w:pPr>
        <w:spacing w:after="40" w:line="240" w:lineRule="auto"/>
        <w:jc w:val="center"/>
      </w:pPr>
      <w:r>
        <w:rPr>
          <w:rFonts w:ascii="Arial" w:hAnsi="Arial" w:eastAsia="Arial"/>
          <w:b/>
          <w:color w:val="000000"/>
          <w:sz w:val="26"/>
        </w:rPr>
        <w:t>2026-2027 EĞİTİM ÖĞRETİM YILI</w:t>
      </w:r>
    </w:p>
    <w:p>
      <w:pPr>
        <w:spacing w:after="40" w:line="240" w:lineRule="auto"/>
        <w:jc w:val="center"/>
      </w:pPr>
      <w:r>
        <w:rPr>
          <w:rFonts w:ascii="Arial" w:hAnsi="Arial" w:eastAsia="Arial"/>
          <w:b/>
          <w:color w:val="000000"/>
          <w:sz w:val="26"/>
        </w:rPr>
        <w:t>FEN BİLİMLERİ DERSİ SENE BAŞI</w:t>
      </w:r>
    </w:p>
    <w:p>
      <w:pPr>
        <w:spacing w:after="180" w:line="240" w:lineRule="auto"/>
        <w:jc w:val="center"/>
      </w:pPr>
      <w:r>
        <w:rPr>
          <w:rFonts w:ascii="Arial" w:hAnsi="Arial" w:eastAsia="Arial"/>
          <w:b/>
          <w:color w:val="000000"/>
          <w:sz w:val="26"/>
        </w:rPr>
        <w:t>İLÇE SINIF/ALAN ZÜMRE TOPLANTISI TUTANAĞI</w:t>
      </w:r>
    </w:p>
    <w:tbl>
      <w:tblPr>
        <w:tblStyle w:val="TableGrid"/>
        <w:tblW w:type="dxa" w:w="10040"/>
        <w:jc w:val="center"/>
        <w:tblLayout w:type="fixed"/>
        <w:tblLook w:firstColumn="1" w:firstRow="1" w:lastColumn="0" w:lastRow="0" w:noHBand="0" w:noVBand="1" w:val="04A0"/>
      </w:tblPr>
      <w:tblGrid>
        <w:gridCol w:w="3200"/>
        <w:gridCol w:w="6840"/>
      </w:tblGrid>
      <w:tr>
        <w:trPr>
          <w:tblHeader w:val="true"/>
        </w:trPr>
        <w:tc>
          <w:tcPr>
            <w:tcW w:type="dxa" w:w="3200"/>
            <w:vAlign w:val="center"/>
            <w:tcMar>
              <w:top w:w="80" w:type="dxa"/>
              <w:start w:w="100" w:type="dxa"/>
              <w:bottom w:w="80" w:type="dxa"/>
              <w:end w:w="100" w:type="dxa"/>
            </w:tcMar>
            <w:shd w:fill="D9EAF7"/>
          </w:tcPr>
          <w:p>
            <w:pPr>
              <w:spacing w:after="0" w:before="0" w:line="240" w:lineRule="auto"/>
              <w:jc w:val="left"/>
            </w:pPr>
            <w:r>
              <w:rPr>
                <w:rFonts w:ascii="Arial" w:hAnsi="Arial" w:eastAsia="Arial"/>
                <w:b/>
                <w:color w:val="000000"/>
                <w:sz w:val="18"/>
              </w:rPr>
              <w:t>TOPLANTI NO</w:t>
            </w:r>
          </w:p>
        </w:tc>
        <w:tc>
          <w:tcPr>
            <w:tcW w:type="dxa" w:w="6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01</w:t>
            </w:r>
          </w:p>
        </w:tc>
      </w:tr>
      <w:tr>
        <w:tc>
          <w:tcPr>
            <w:tcW w:type="dxa" w:w="3200"/>
            <w:vAlign w:val="center"/>
            <w:tcMar>
              <w:top w:w="80" w:type="dxa"/>
              <w:start w:w="100" w:type="dxa"/>
              <w:bottom w:w="80" w:type="dxa"/>
              <w:end w:w="100" w:type="dxa"/>
            </w:tcMar>
            <w:shd w:fill="D9EAF7"/>
          </w:tcPr>
          <w:p>
            <w:pPr>
              <w:spacing w:after="0" w:before="0" w:line="240" w:lineRule="auto"/>
              <w:jc w:val="left"/>
            </w:pPr>
            <w:r>
              <w:rPr>
                <w:rFonts w:ascii="Arial" w:hAnsi="Arial" w:eastAsia="Arial"/>
                <w:b/>
                <w:color w:val="000000"/>
                <w:sz w:val="18"/>
              </w:rPr>
              <w:t>TOPLANTI TARİHİ</w:t>
            </w:r>
          </w:p>
        </w:tc>
        <w:tc>
          <w:tcPr>
            <w:tcW w:type="dxa" w:w="6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r>
      <w:tr>
        <w:tc>
          <w:tcPr>
            <w:tcW w:type="dxa" w:w="3200"/>
            <w:vAlign w:val="center"/>
            <w:tcMar>
              <w:top w:w="80" w:type="dxa"/>
              <w:start w:w="100" w:type="dxa"/>
              <w:bottom w:w="80" w:type="dxa"/>
              <w:end w:w="100" w:type="dxa"/>
            </w:tcMar>
            <w:shd w:fill="D9EAF7"/>
          </w:tcPr>
          <w:p>
            <w:pPr>
              <w:spacing w:after="0" w:before="0" w:line="240" w:lineRule="auto"/>
              <w:jc w:val="left"/>
            </w:pPr>
            <w:r>
              <w:rPr>
                <w:rFonts w:ascii="Arial" w:hAnsi="Arial" w:eastAsia="Arial"/>
                <w:b/>
                <w:color w:val="000000"/>
                <w:sz w:val="18"/>
              </w:rPr>
              <w:t>TOPLANTI SAATİ</w:t>
            </w:r>
          </w:p>
        </w:tc>
        <w:tc>
          <w:tcPr>
            <w:tcW w:type="dxa" w:w="6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r>
      <w:tr>
        <w:tc>
          <w:tcPr>
            <w:tcW w:type="dxa" w:w="3200"/>
            <w:vAlign w:val="center"/>
            <w:tcMar>
              <w:top w:w="80" w:type="dxa"/>
              <w:start w:w="100" w:type="dxa"/>
              <w:bottom w:w="80" w:type="dxa"/>
              <w:end w:w="100" w:type="dxa"/>
            </w:tcMar>
            <w:shd w:fill="D9EAF7"/>
          </w:tcPr>
          <w:p>
            <w:pPr>
              <w:spacing w:after="0" w:before="0" w:line="240" w:lineRule="auto"/>
              <w:jc w:val="left"/>
            </w:pPr>
            <w:r>
              <w:rPr>
                <w:rFonts w:ascii="Arial" w:hAnsi="Arial" w:eastAsia="Arial"/>
                <w:b/>
                <w:color w:val="000000"/>
                <w:sz w:val="18"/>
              </w:rPr>
              <w:t>TOPLANTI YERİ</w:t>
            </w:r>
          </w:p>
        </w:tc>
        <w:tc>
          <w:tcPr>
            <w:tcW w:type="dxa" w:w="6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r>
      <w:tr>
        <w:tc>
          <w:tcPr>
            <w:tcW w:type="dxa" w:w="3200"/>
            <w:vAlign w:val="center"/>
            <w:tcMar>
              <w:top w:w="80" w:type="dxa"/>
              <w:start w:w="100" w:type="dxa"/>
              <w:bottom w:w="80" w:type="dxa"/>
              <w:end w:w="100" w:type="dxa"/>
            </w:tcMar>
            <w:shd w:fill="D9EAF7"/>
          </w:tcPr>
          <w:p>
            <w:pPr>
              <w:spacing w:after="0" w:before="0" w:line="240" w:lineRule="auto"/>
              <w:jc w:val="left"/>
            </w:pPr>
            <w:r>
              <w:rPr>
                <w:rFonts w:ascii="Arial" w:hAnsi="Arial" w:eastAsia="Arial"/>
                <w:b/>
                <w:color w:val="000000"/>
                <w:sz w:val="18"/>
              </w:rPr>
              <w:t>KOORDİNE EDEN BİRİM/YÖNETİCİ</w:t>
            </w:r>
          </w:p>
        </w:tc>
        <w:tc>
          <w:tcPr>
            <w:tcW w:type="dxa" w:w="6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r>
    </w:tbl>
    <w:p>
      <w:pPr>
        <w:pStyle w:val="BodyTextCustom"/>
      </w:pPr>
      <w:r>
        <w:rPr>
          <w:rFonts w:ascii="Arial" w:hAnsi="Arial" w:eastAsia="Arial"/>
          <w:b/>
          <w:color w:val="000000"/>
          <w:sz w:val="20"/>
        </w:rPr>
        <w:t xml:space="preserve">Not: </w:t>
      </w:r>
      <w:r>
        <w:rPr>
          <w:rFonts w:ascii="Arial" w:hAnsi="Arial" w:eastAsia="Arial"/>
          <w:b w:val="0"/>
          <w:color w:val="000000"/>
          <w:sz w:val="20"/>
        </w:rPr>
        <w:t>Sene başı ilçe sınıf/alan zümre toplantısı, Eğitim Kurulları ve Zümreleri Yönergesi EK-2’de belirtilen toplantı takvimine göre Eylül ayının dördüncü işgününde yapılır. Zorunlu durumlar dışında toplantı tarihi, yeri ve gündemi en az 5 gün önceden ilgililere duyurulur.</w:t>
      </w:r>
    </w:p>
    <w:p>
      <w:pPr>
        <w:pStyle w:val="SectionHeading"/>
        <w:keepNext/>
      </w:pPr>
      <w:r>
        <w:rPr>
          <w:rFonts w:ascii="Arial" w:hAnsi="Arial" w:eastAsia="Arial"/>
          <w:b/>
          <w:color w:val="1F4E79"/>
          <w:sz w:val="22"/>
        </w:rPr>
        <w:t>GÜNDEM MADDELERİ</w:t>
      </w:r>
    </w:p>
    <w:p>
      <w:pPr>
        <w:pStyle w:val="BodyTextCustom"/>
        <w:keepNext w:val="0"/>
        <w:ind w:hanging="312" w:left="312"/>
      </w:pPr>
      <w:r>
        <w:rPr>
          <w:rFonts w:ascii="Arial" w:hAnsi="Arial" w:eastAsia="Arial"/>
          <w:b w:val="0"/>
          <w:color w:val="000000"/>
          <w:sz w:val="20"/>
        </w:rPr>
        <w:t>1. Açılış, yoklama, toplantı yazmanının belirlenmesi ve gündemin okunması.</w:t>
      </w:r>
    </w:p>
    <w:p>
      <w:pPr>
        <w:pStyle w:val="BodyTextCustom"/>
        <w:keepNext w:val="0"/>
        <w:ind w:hanging="312" w:left="312"/>
      </w:pPr>
      <w:r>
        <w:rPr>
          <w:rFonts w:ascii="Arial" w:hAnsi="Arial" w:eastAsia="Arial"/>
          <w:b w:val="0"/>
          <w:color w:val="000000"/>
          <w:sz w:val="20"/>
        </w:rPr>
        <w:t>2. İlçe zümre başkanı ve yedek başkanın görev durumlarının incelenmesi; gerekli olması hâlinde seçim işlemlerinin yürütülmesi.</w:t>
      </w:r>
    </w:p>
    <w:p>
      <w:pPr>
        <w:pStyle w:val="BodyTextCustom"/>
        <w:keepNext w:val="0"/>
        <w:ind w:hanging="312" w:left="312"/>
      </w:pPr>
      <w:r>
        <w:rPr>
          <w:rFonts w:ascii="Arial" w:hAnsi="Arial" w:eastAsia="Arial"/>
          <w:b w:val="0"/>
          <w:color w:val="000000"/>
          <w:sz w:val="20"/>
        </w:rPr>
        <w:t>3. Bir önceki ilçe zümre toplantısında alınan kararların ve uygulama sonuçlarının değerlendirilmesi.</w:t>
      </w:r>
    </w:p>
    <w:p>
      <w:pPr>
        <w:pStyle w:val="BodyTextCustom"/>
        <w:keepNext w:val="0"/>
        <w:ind w:hanging="312" w:left="312"/>
      </w:pPr>
      <w:r>
        <w:rPr>
          <w:rFonts w:ascii="Arial" w:hAnsi="Arial" w:eastAsia="Arial"/>
          <w:b w:val="0"/>
          <w:color w:val="000000"/>
          <w:sz w:val="20"/>
        </w:rPr>
        <w:t>4. 2026-2027 eğitim öğretim yılı çalışma takvimi, güncel mevzuat ve 19/08/2026 tarihli 2026/70 sayılı Genelgenin Fen Bilimleri dersini ilgilendiren hükümleri ile ‘Maarifin Kalbinde Oyun’ teması kapsamında ilçe genelinde yürütülecek çalışmaların görüşülmesi.</w:t>
      </w:r>
    </w:p>
    <w:p>
      <w:pPr>
        <w:pStyle w:val="BodyTextCustom"/>
        <w:keepNext w:val="0"/>
        <w:ind w:hanging="312" w:left="312"/>
      </w:pPr>
      <w:r>
        <w:rPr>
          <w:rFonts w:ascii="Arial" w:hAnsi="Arial" w:eastAsia="Arial"/>
          <w:b w:val="0"/>
          <w:color w:val="000000"/>
          <w:sz w:val="20"/>
        </w:rPr>
        <w:t>5. Okul Fen Bilimleri zümrelerinden gelen görüş, öneri, ihtiyaç, sorun ve iyi uygulamaların değerlendirilmesi.</w:t>
      </w:r>
    </w:p>
    <w:p>
      <w:pPr>
        <w:pStyle w:val="BodyTextCustom"/>
        <w:keepNext w:val="0"/>
        <w:ind w:hanging="312" w:left="312"/>
      </w:pPr>
      <w:r>
        <w:rPr>
          <w:rFonts w:ascii="Arial" w:hAnsi="Arial" w:eastAsia="Arial"/>
          <w:b w:val="0"/>
          <w:color w:val="000000"/>
          <w:sz w:val="20"/>
        </w:rPr>
        <w:t>6. 5, 6, 7 ve 8. sınıf Fen Bilimleri öğretim programları ile yıllık planlarda ilçe düzeyinde uygulama birliğinin sağlanması; Türkiye Yüzyılı Maarif Modeli’nin 7. sınıfta ilk kez uygulanmasına ilişkin hazırlıkların görüşülmesi.</w:t>
      </w:r>
    </w:p>
    <w:p>
      <w:pPr>
        <w:pStyle w:val="BodyTextCustom"/>
        <w:keepNext w:val="0"/>
        <w:ind w:hanging="312" w:left="312"/>
      </w:pPr>
      <w:r>
        <w:rPr>
          <w:rFonts w:ascii="Arial" w:hAnsi="Arial" w:eastAsia="Arial"/>
          <w:b w:val="0"/>
          <w:color w:val="000000"/>
          <w:sz w:val="20"/>
        </w:rPr>
        <w:t>7. Öğrenme çıktıları ve kazanımlar, program bileşenleri, öğretim yöntemleri, okul temelli planlama, yaşam becerileri, farklılaştırılmış öğretim, BEP ve kapsayıcı eğitim uygulamalarının değerlendirilmesi.</w:t>
      </w:r>
    </w:p>
    <w:p>
      <w:pPr>
        <w:pStyle w:val="BodyTextCustom"/>
        <w:keepNext w:val="0"/>
        <w:ind w:hanging="312" w:left="312"/>
      </w:pPr>
      <w:r>
        <w:rPr>
          <w:rFonts w:ascii="Arial" w:hAnsi="Arial" w:eastAsia="Arial"/>
          <w:b w:val="0"/>
          <w:color w:val="000000"/>
          <w:sz w:val="20"/>
        </w:rPr>
        <w:t>8. Ölçme ve değerlendirme esasları; Bakanlık, il, ilçe ve okul geneli ortak yazılı sınavlar, konu soru dağılım tabloları, sınav güvenliği, Bakanlık dışı sınavlar ve yardımcı kaynaklara ilişkin hükümlerin görüşülmesi.</w:t>
      </w:r>
    </w:p>
    <w:p>
      <w:pPr>
        <w:pStyle w:val="BodyTextCustom"/>
        <w:keepNext w:val="0"/>
        <w:ind w:hanging="312" w:left="312"/>
      </w:pPr>
      <w:r>
        <w:rPr>
          <w:rFonts w:ascii="Arial" w:hAnsi="Arial" w:eastAsia="Arial"/>
          <w:b w:val="0"/>
          <w:color w:val="000000"/>
          <w:sz w:val="20"/>
        </w:rPr>
        <w:t>9. Sınav analizleri, eksik öğrenmeler için eylem planları, 5, 6 ve 7. sınıf e-Okul gelişim raporları ve ilçe düzeyinde öğrenci başarısını artırmaya yönelik tedbirlerin belirlenmesi.</w:t>
      </w:r>
    </w:p>
    <w:p>
      <w:pPr>
        <w:pStyle w:val="BodyTextCustom"/>
        <w:keepNext w:val="0"/>
        <w:ind w:hanging="312" w:left="312"/>
      </w:pPr>
      <w:r>
        <w:rPr>
          <w:rFonts w:ascii="Arial" w:hAnsi="Arial" w:eastAsia="Arial"/>
          <w:b w:val="0"/>
          <w:color w:val="000000"/>
          <w:sz w:val="20"/>
        </w:rPr>
        <w:t>10. 2026 LGS Fen Bilimleri sonuçlarının değerlendirilmesi, 2027 LGS hazırlıkları ve Destekleme ve Yetiştirme Kurslarının planlanması.</w:t>
      </w:r>
    </w:p>
    <w:p>
      <w:pPr>
        <w:pStyle w:val="BodyTextCustom"/>
        <w:keepNext w:val="0"/>
        <w:ind w:hanging="312" w:left="312"/>
      </w:pPr>
      <w:r>
        <w:rPr>
          <w:rFonts w:ascii="Arial" w:hAnsi="Arial" w:eastAsia="Arial"/>
          <w:b w:val="0"/>
          <w:color w:val="000000"/>
          <w:sz w:val="20"/>
        </w:rPr>
        <w:t>11. Öğretmenlerin mesleki gelişimi, Türkiye Yüzyılı Maarif Modeli Öğretmen Eğitimi Paketleri, zümreler arası mesleki iş birliği ve Bakanlığın resmî dijital eğitim platformlarının etkin kullanımının görüşülmesi.</w:t>
      </w:r>
    </w:p>
    <w:p>
      <w:pPr>
        <w:pStyle w:val="BodyTextCustom"/>
        <w:keepNext w:val="0"/>
        <w:ind w:hanging="312" w:left="312"/>
      </w:pPr>
      <w:r>
        <w:rPr>
          <w:rFonts w:ascii="Arial" w:hAnsi="Arial" w:eastAsia="Arial"/>
          <w:b w:val="0"/>
          <w:color w:val="000000"/>
          <w:sz w:val="20"/>
        </w:rPr>
        <w:t>12. Laboratuvar, deney araç-gereçleri, kimyasal envanteri, iş sağlığı ve güvenliği ile okullar arası imkân ve materyal paylaşımının değerlendirilmesi.</w:t>
      </w:r>
    </w:p>
    <w:p>
      <w:pPr>
        <w:pStyle w:val="BodyTextCustom"/>
        <w:keepNext w:val="0"/>
        <w:ind w:hanging="312" w:left="312"/>
      </w:pPr>
      <w:r>
        <w:rPr>
          <w:rFonts w:ascii="Arial" w:hAnsi="Arial" w:eastAsia="Arial"/>
          <w:b w:val="0"/>
          <w:color w:val="000000"/>
          <w:sz w:val="20"/>
        </w:rPr>
        <w:t>13. Bilimsel proje ve yarışmalar, TÜBİTAK 4006, okul dışı öğrenme, sosyal sorumluluk, sürdürülebilirlik, aile katılımı ve Genelge kapsamındaki tematik çalışmaların ilçe düzeyinde planlanması.</w:t>
      </w:r>
    </w:p>
    <w:p>
      <w:pPr>
        <w:pStyle w:val="BodyTextCustom"/>
        <w:keepNext w:val="0"/>
        <w:ind w:hanging="312" w:left="312"/>
      </w:pPr>
      <w:r>
        <w:rPr>
          <w:rFonts w:ascii="Arial" w:hAnsi="Arial" w:eastAsia="Arial"/>
          <w:b w:val="0"/>
          <w:color w:val="000000"/>
          <w:sz w:val="20"/>
        </w:rPr>
        <w:t>14. İlçe düzeyinde çözülemeyen hususlar ile il zümresine ve ilçe millî eğitim müdürlüğüne sunulacak görüş ve önerilerin belirlenmesi.</w:t>
      </w:r>
    </w:p>
    <w:p>
      <w:pPr>
        <w:pStyle w:val="BodyTextCustom"/>
        <w:keepNext w:val="0"/>
        <w:ind w:hanging="312" w:left="312"/>
      </w:pPr>
      <w:r>
        <w:rPr>
          <w:rFonts w:ascii="Arial" w:hAnsi="Arial" w:eastAsia="Arial"/>
          <w:b w:val="0"/>
          <w:color w:val="000000"/>
          <w:sz w:val="20"/>
        </w:rPr>
        <w:t>15. Dilek ve temenniler, kapanış.</w:t>
      </w:r>
    </w:p>
    <w:p>
      <w:pPr>
        <w:pStyle w:val="SectionHeading"/>
        <w:keepNext/>
      </w:pPr>
      <w:r>
        <w:rPr>
          <w:rFonts w:ascii="Arial" w:hAnsi="Arial" w:eastAsia="Arial"/>
          <w:b/>
          <w:color w:val="1F4E79"/>
          <w:sz w:val="22"/>
        </w:rPr>
        <w:t>İNCELEMESİ YAPILAN BAŞLICA MEVZUAT, PROGRAM VE BELGELER</w:t>
      </w:r>
    </w:p>
    <w:p>
      <w:pPr>
        <w:pStyle w:val="BodyTextCustom"/>
        <w:keepNext w:val="0"/>
        <w:ind w:hanging="312" w:left="312"/>
      </w:pPr>
      <w:r>
        <w:rPr>
          <w:rFonts w:ascii="Arial" w:hAnsi="Arial" w:eastAsia="Arial"/>
          <w:b w:val="0"/>
          <w:color w:val="000000"/>
          <w:sz w:val="20"/>
        </w:rPr>
        <w:t>1. 12/02/2025 tarihli ve 126419167 sayılı Millî Eğitim Bakanlığı Eğitim Kurulları ve Zümreleri Yönergesi.</w:t>
      </w:r>
    </w:p>
    <w:p>
      <w:pPr>
        <w:pStyle w:val="BodyTextCustom"/>
        <w:keepNext w:val="0"/>
        <w:ind w:hanging="312" w:left="312"/>
      </w:pPr>
      <w:r>
        <w:rPr>
          <w:rFonts w:ascii="Arial" w:hAnsi="Arial" w:eastAsia="Arial"/>
          <w:b w:val="0"/>
          <w:color w:val="000000"/>
          <w:sz w:val="20"/>
        </w:rPr>
        <w:t>2. Millî Eğitim Bakanlığı Ölçme ve Değerlendirme Yönetmeliği ile Millî Eğitim Bakanlığı Yazılı ve Uygulamalı Sınavlar Yönergesi.</w:t>
      </w:r>
    </w:p>
    <w:p>
      <w:pPr>
        <w:pStyle w:val="BodyTextCustom"/>
        <w:keepNext w:val="0"/>
        <w:ind w:hanging="312" w:left="312"/>
      </w:pPr>
      <w:r>
        <w:rPr>
          <w:rFonts w:ascii="Arial" w:hAnsi="Arial" w:eastAsia="Arial"/>
          <w:b w:val="0"/>
          <w:color w:val="000000"/>
          <w:sz w:val="20"/>
        </w:rPr>
        <w:t>3. 2026-2027 Eğitim ve Öğretim Yılı Çalışma Takvimi Genelgesi.</w:t>
      </w:r>
    </w:p>
    <w:p>
      <w:pPr>
        <w:pStyle w:val="BodyTextCustom"/>
        <w:keepNext w:val="0"/>
        <w:ind w:hanging="312" w:left="312"/>
      </w:pPr>
      <w:r>
        <w:rPr>
          <w:rFonts w:ascii="Arial" w:hAnsi="Arial" w:eastAsia="Arial"/>
          <w:b w:val="0"/>
          <w:color w:val="000000"/>
          <w:sz w:val="20"/>
        </w:rPr>
        <w:t>4. 19/08/2026 tarihli, E-35427624-010.06-166588055 sayılı ve 2026/70 numaralı ‘2026-2027 Eğitim ve Öğretim Yılına İlişkin İş ve İşlemler’ konulu Genelge.</w:t>
      </w:r>
    </w:p>
    <w:p>
      <w:pPr>
        <w:pStyle w:val="BodyTextCustom"/>
        <w:keepNext w:val="0"/>
        <w:ind w:hanging="312" w:left="312"/>
      </w:pPr>
      <w:r>
        <w:rPr>
          <w:rFonts w:ascii="Arial" w:hAnsi="Arial" w:eastAsia="Arial"/>
          <w:b w:val="0"/>
          <w:color w:val="000000"/>
          <w:sz w:val="20"/>
        </w:rPr>
        <w:t>5. 5, 6 ve 7. sınıf Türkiye Yüzyılı Maarif Modeli Fen Bilimleri Dersi Öğretim Programları ile 8. sınıf Fen Bilimleri Dersi Öğretim Programı.</w:t>
      </w:r>
    </w:p>
    <w:p>
      <w:pPr>
        <w:pStyle w:val="BodyTextCustom"/>
        <w:keepNext w:val="0"/>
        <w:ind w:hanging="312" w:left="312"/>
      </w:pPr>
      <w:r>
        <w:rPr>
          <w:rFonts w:ascii="Arial" w:hAnsi="Arial" w:eastAsia="Arial"/>
          <w:b w:val="0"/>
          <w:color w:val="000000"/>
          <w:sz w:val="20"/>
        </w:rPr>
        <w:t>6. 2026-2027 eğitim öğretim yılına ait resmî ders kitapları, MEB taslak çerçeve yıllık planları ve Bakanlıkça yayımlanan öğretim materyalleri.</w:t>
      </w:r>
    </w:p>
    <w:p>
      <w:pPr>
        <w:pStyle w:val="BodyTextCustom"/>
        <w:keepNext w:val="0"/>
        <w:ind w:hanging="312" w:left="312"/>
      </w:pPr>
      <w:r>
        <w:rPr>
          <w:rFonts w:ascii="Arial" w:hAnsi="Arial" w:eastAsia="Arial"/>
          <w:b w:val="0"/>
          <w:color w:val="000000"/>
          <w:sz w:val="20"/>
        </w:rPr>
        <w:t>7. 2026-2027 Eğitim ve Öğretim Yılı Destekleme ve Yetiştirme Kursları Kılavuzu ve İş Takvimi.</w:t>
      </w:r>
    </w:p>
    <w:p>
      <w:pPr>
        <w:pStyle w:val="BodyTextCustom"/>
        <w:keepNext w:val="0"/>
        <w:ind w:hanging="312" w:left="312"/>
      </w:pPr>
      <w:r>
        <w:rPr>
          <w:rFonts w:ascii="Arial" w:hAnsi="Arial" w:eastAsia="Arial"/>
          <w:b w:val="0"/>
          <w:color w:val="000000"/>
          <w:sz w:val="20"/>
        </w:rPr>
        <w:t>8. Millî Eğitim Bakanlığı Oyun Politika Belgesi ile Genelge kapsamında yayımlanan uygulama kılavuzları ve bilgilendirmeler.</w:t>
      </w:r>
    </w:p>
    <w:p>
      <w:pPr>
        <w:pStyle w:val="BodyTextCustom"/>
        <w:keepNext w:val="0"/>
        <w:ind w:hanging="312" w:left="312"/>
      </w:pPr>
      <w:r>
        <w:rPr>
          <w:rFonts w:ascii="Arial" w:hAnsi="Arial" w:eastAsia="Arial"/>
          <w:b w:val="0"/>
          <w:color w:val="000000"/>
          <w:sz w:val="20"/>
        </w:rPr>
        <w:t>9. Bakanlık, il ve ilçe millî eğitim müdürlüklerince yayımlanacak ortak sınav takvimleri, konu soru dağılım tabloları ve diğer resmî duyurular.</w:t>
      </w:r>
    </w:p>
    <w:p>
      <w:pPr>
        <w:pStyle w:val="SectionHeading"/>
        <w:keepNext/>
      </w:pPr>
      <w:r>
        <w:rPr>
          <w:rFonts w:ascii="Arial" w:hAnsi="Arial" w:eastAsia="Arial"/>
          <w:b/>
          <w:color w:val="1F4E79"/>
          <w:sz w:val="22"/>
        </w:rPr>
        <w:t>TOPLANTI GÖREVLERİ VE BAŞKANLIK DURUMU</w:t>
      </w:r>
    </w:p>
    <w:tbl>
      <w:tblPr>
        <w:tblStyle w:val="TableGrid"/>
        <w:tblW w:type="dxa" w:w="10040"/>
        <w:jc w:val="center"/>
        <w:tblLayout w:type="fixed"/>
        <w:tblLook w:firstColumn="1" w:firstRow="1" w:lastColumn="0" w:lastRow="0" w:noHBand="0" w:noVBand="1" w:val="04A0"/>
      </w:tblPr>
      <w:tblGrid>
        <w:gridCol w:w="2600"/>
        <w:gridCol w:w="3600"/>
        <w:gridCol w:w="3840"/>
      </w:tblGrid>
      <w:tr>
        <w:trPr>
          <w:tblHeader w:val="true"/>
        </w:trPr>
        <w:tc>
          <w:tcPr>
            <w:tcW w:type="dxa" w:w="26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Görev</w:t>
            </w:r>
          </w:p>
        </w:tc>
        <w:tc>
          <w:tcPr>
            <w:tcW w:type="dxa" w:w="36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Adı Soyadı / Görev Yeri</w:t>
            </w:r>
          </w:p>
        </w:tc>
        <w:tc>
          <w:tcPr>
            <w:tcW w:type="dxa" w:w="384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Açıklama</w:t>
            </w:r>
          </w:p>
        </w:tc>
      </w:tr>
      <w:tr>
        <w:tc>
          <w:tcPr>
            <w:tcW w:type="dxa" w:w="2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İlçe Zümre Başkanı</w:t>
            </w:r>
          </w:p>
        </w:tc>
        <w:tc>
          <w:tcPr>
            <w:tcW w:type="dxa" w:w="3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c>
          <w:tcPr>
            <w:tcW w:type="dxa" w:w="3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Görev başlangıcı: …/…/……</w:t>
              <w:br/>
              <w:t>Görev bitişi: …/…/……</w:t>
            </w:r>
          </w:p>
        </w:tc>
      </w:tr>
      <w:tr>
        <w:tc>
          <w:tcPr>
            <w:tcW w:type="dxa" w:w="2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Yedek Başkan</w:t>
            </w:r>
          </w:p>
        </w:tc>
        <w:tc>
          <w:tcPr>
            <w:tcW w:type="dxa" w:w="3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c>
          <w:tcPr>
            <w:tcW w:type="dxa" w:w="3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Görev başlangıcı: …/…/……</w:t>
              <w:br/>
              <w:t>Görev bitişi: …/…/……</w:t>
            </w:r>
          </w:p>
        </w:tc>
      </w:tr>
      <w:tr>
        <w:tc>
          <w:tcPr>
            <w:tcW w:type="dxa" w:w="2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Toplantı Yazmanı</w:t>
            </w:r>
          </w:p>
        </w:tc>
        <w:tc>
          <w:tcPr>
            <w:tcW w:type="dxa" w:w="36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w:t>
            </w:r>
          </w:p>
        </w:tc>
        <w:tc>
          <w:tcPr>
            <w:tcW w:type="dxa" w:w="38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t>Toplantı tutanağını düzenler.</w:t>
            </w:r>
          </w:p>
        </w:tc>
      </w:tr>
    </w:tbl>
    <w:p>
      <w:pPr>
        <w:pStyle w:val="BodyTextCustom"/>
      </w:pPr>
      <w:r>
        <w:rPr>
          <w:rFonts w:ascii="Arial" w:hAnsi="Arial" w:eastAsia="Arial"/>
          <w:b/>
          <w:color w:val="000000"/>
          <w:sz w:val="20"/>
        </w:rPr>
        <w:t xml:space="preserve">Başkanlık uygulaması: </w:t>
      </w:r>
      <w:r>
        <w:rPr>
          <w:rFonts w:ascii="Arial" w:hAnsi="Arial" w:eastAsia="Arial"/>
          <w:b w:val="0"/>
          <w:color w:val="000000"/>
          <w:sz w:val="20"/>
        </w:rPr>
        <w:t>Mevcut başkan ve yedek başkanın görev süresi devam ediyorsa seçim yapılmaz. Görev süresi sona ermiş veya görev zorunlu nedenle boşalmışsa Eğitim Kurulları ve Zümreleri Yönergesindeki usul ve öncelik sırası uygulanır. Seçilen zümre başkanı MEBBİS modülüne işlenir ve ilçe yönetimine bildirilir. Aynı şekilde yedek başkan seçilir. İlgili alandaki eğitim kurumu müdürü/müdür yardımcısı toplantıya gözlemci olarak katılır ve oylamaya katılamaz. Kararlar oy çokluğuyla alınır; eşitlik hâlinde zümre başkanının katıldığı görüş kabul edilir.</w:t>
      </w:r>
    </w:p>
    <w:p>
      <w:pPr>
        <w:pStyle w:val="BodyTextCustom"/>
      </w:pPr>
      <w:r>
        <w:rPr>
          <w:rFonts w:ascii="Arial" w:hAnsi="Arial" w:eastAsia="Arial"/>
          <w:b/>
          <w:color w:val="000000"/>
          <w:sz w:val="20"/>
        </w:rPr>
        <w:t xml:space="preserve"/>
      </w:r>
      <w:r>
        <w:rPr>
          <w:rFonts w:ascii="Arial" w:hAnsi="Arial" w:eastAsia="Arial"/>
          <w:b w:val="0"/>
          <w:color w:val="000000"/>
          <w:sz w:val="20"/>
        </w:rPr>
        <w:t>Bir önceki eğitim öğretim yılında ilçe zümre başkanlığı yapmış kişi aynı ilçede görev yapmaya devam ediyorsa ilk toplantıya katılır.</w:t>
      </w:r>
    </w:p>
    <w:p>
      <w:pPr>
        <w:pStyle w:val="BodyTextCustom"/>
      </w:pPr>
      <w:r>
        <w:rPr>
          <w:rFonts w:ascii="Arial" w:hAnsi="Arial" w:eastAsia="Arial"/>
          <w:b/>
          <w:color w:val="000000"/>
          <w:sz w:val="20"/>
        </w:rPr>
        <w:t xml:space="preserve">Not: </w:t>
      </w:r>
      <w:r>
        <w:rPr>
          <w:rFonts w:ascii="Arial" w:hAnsi="Arial" w:eastAsia="Arial"/>
          <w:b w:val="0"/>
          <w:color w:val="000000"/>
          <w:sz w:val="20"/>
        </w:rPr>
        <w:t>İlçede Fen Bilimleri alanında yalnız bir öğretmenin bulunması hâlinde ilçe zümre toplantısı yapılmaz; öğretmen alanıyla ilgili il zümresine katılır ve alınan kararları yıllık çalışma programında belirtir.</w:t>
      </w:r>
    </w:p>
    <w:p>
      <w:pPr>
        <w:pStyle w:val="SectionHeading"/>
        <w:keepNext/>
      </w:pPr>
      <w:r>
        <w:rPr>
          <w:rFonts w:ascii="Arial" w:hAnsi="Arial" w:eastAsia="Arial"/>
          <w:b/>
          <w:color w:val="1F4E79"/>
          <w:sz w:val="22"/>
        </w:rPr>
        <w:t>GÜNDEM MADDELERİNİN GÖRÜŞÜLMESİ</w:t>
      </w:r>
    </w:p>
    <w:p>
      <w:pPr>
        <w:pStyle w:val="BodyTextCustom"/>
        <w:keepNext w:val="0"/>
        <w:ind w:hanging="312" w:left="312"/>
      </w:pPr>
      <w:r>
        <w:rPr>
          <w:rFonts w:ascii="Arial" w:hAnsi="Arial" w:eastAsia="Arial"/>
          <w:b/>
          <w:color w:val="000000"/>
          <w:sz w:val="20"/>
        </w:rPr>
        <w:t>1. Açılış ve yoklama:</w:t>
      </w:r>
      <w:r>
        <w:rPr>
          <w:rFonts w:ascii="Arial" w:hAnsi="Arial" w:eastAsia="Arial"/>
          <w:b w:val="0"/>
          <w:color w:val="000000"/>
          <w:sz w:val="20"/>
        </w:rPr>
        <w:t xml:space="preserve"> Fen Bilimleri Dersi İlçe Sınıf/Alan Zümresi, …/…/…… tarihinde yukarıda belirtilen yer ve saatte; ilçe millî eğitim müdürü veya görevlendireceği ilçe millî eğitim müdür yardımcısı/şube müdürünün koordinatörlüğünde, ilçe zümre başkanının başkanlığında ve görevlendirilen eğitim kurumu yöneticisinin gözlemci katılımıyla toplandı. Yoklama yapıldı; toplantıya katılan okul zümre başkanları, koordinatör, gözlemci yönetici ve toplantı yazmanı kayıt altına alındı. Gündem maddeleri okundu ve kabul edildi.</w:t>
      </w:r>
    </w:p>
    <w:p>
      <w:pPr>
        <w:pStyle w:val="BodyTextCustom"/>
        <w:keepNext w:val="0"/>
        <w:ind w:hanging="312" w:left="312"/>
      </w:pPr>
      <w:r>
        <w:rPr>
          <w:rFonts w:ascii="Arial" w:hAnsi="Arial" w:eastAsia="Arial"/>
          <w:b/>
          <w:color w:val="000000"/>
          <w:sz w:val="20"/>
        </w:rPr>
        <w:t>2. Başkan ve yedek başkanın görev durumu:</w:t>
      </w:r>
      <w:r>
        <w:rPr>
          <w:rFonts w:ascii="Arial" w:hAnsi="Arial" w:eastAsia="Arial"/>
          <w:b w:val="0"/>
          <w:color w:val="000000"/>
          <w:sz w:val="20"/>
        </w:rPr>
        <w:t xml:space="preserve"> İlçe zümre başkanı ve yedek başkanın görev başlangıç ve bitiş tarihleri incelendi. Görev süresi devam edenlerin görevlerine devam edeceği; görev süresi sona eren veya zorunlu nedenle boşalan görevler için Yönergede belirtilen esaslara göre işlem yapılacağı belirtildi. Başkanlık bilgileri toplantı görevleri tablosuna işlendi.</w:t>
      </w:r>
    </w:p>
    <w:p>
      <w:pPr>
        <w:pStyle w:val="BodyTextCustom"/>
        <w:keepNext w:val="0"/>
        <w:ind w:hanging="312" w:left="312"/>
      </w:pPr>
      <w:r>
        <w:rPr>
          <w:rFonts w:ascii="Arial" w:hAnsi="Arial" w:eastAsia="Arial"/>
          <w:b/>
          <w:color w:val="000000"/>
          <w:sz w:val="20"/>
        </w:rPr>
        <w:t>3. Önceki kararların değerlendirilmesi:</w:t>
      </w:r>
      <w:r>
        <w:rPr>
          <w:rFonts w:ascii="Arial" w:hAnsi="Arial" w:eastAsia="Arial"/>
          <w:b w:val="0"/>
          <w:color w:val="000000"/>
          <w:sz w:val="20"/>
        </w:rPr>
        <w:t xml:space="preserve"> Bir önceki ilçe zümre toplantısında alınan kararlar okundu. Okul zümre başkanları, kararların kendi okullarındaki uygulanma durumları ile sonuçlarını paylaştı. Uygulamada karşılaşılan güçlükler, sürdürülebilen çalışmalar ve sonuç alınan iyi uygulamalar değerlendirildi; güncelliğini yitiren kararların tekrarlanmaması benimsendi.</w:t>
      </w:r>
    </w:p>
    <w:p>
      <w:pPr>
        <w:pStyle w:val="BodyTextCustom"/>
        <w:keepNext w:val="0"/>
        <w:ind w:hanging="312" w:left="312"/>
      </w:pPr>
      <w:r>
        <w:rPr>
          <w:rFonts w:ascii="Arial" w:hAnsi="Arial" w:eastAsia="Arial"/>
          <w:b/>
          <w:color w:val="000000"/>
          <w:sz w:val="20"/>
        </w:rPr>
        <w:t>4. Çalışma takvimi, güncel mevzuat ve 2026/70 sayılı Genelge:</w:t>
      </w:r>
      <w:r>
        <w:rPr>
          <w:rFonts w:ascii="Arial" w:hAnsi="Arial" w:eastAsia="Arial"/>
          <w:b w:val="0"/>
          <w:color w:val="000000"/>
          <w:sz w:val="20"/>
        </w:rPr>
        <w:t xml:space="preserve"> 2026-2027 eğitim öğretim yılı çalışma takvimi ile 19/08/2026 tarihli ve 2026/70 sayılı Genelge incelendi. Ders yılının 14 Eylül 2026 tarihinde başlayacağı, 25 Haziran 2027 tarihinde sona ereceği ve eğitim öğretim faaliyetlerinin 180 iş günü esas alınarak planlı biçimde sürdürüleceği belirtildi. Genelgenin Fen Bilimleri dersini ilgilendiren hükümleri birlikte değerlendirildi. ‘Maarifin Kalbinde Oyun’ teması kapsamında öğrenme çıktıları ve kazanımlarla ilişkilendirilen, yaş ve gelişim özelliklerine uygun, güvenli ve kapsayıcı oyun etkinliklerinden yararlanılması; çalışmaların Oyun Politika Belgesi’ne uygun yürütülmesi görüşüldü. Millî birlik ve beraberlik, yaşam becerileri, güvenli ve sağlıklı okul iklimi, okul dışı öğrenme, dijital esenlik, medya okuryazarlığı, aile katılımı, yerli üretim ve tasarruf bilinci gibi Genelge başlıklarının Fen Bilimleri dersinin amaç ve içeriğiyle ilişkili olduğu ölçüde eğitim süreçlerine yansıtılması değerlendirildi.</w:t>
      </w:r>
    </w:p>
    <w:p>
      <w:pPr>
        <w:pStyle w:val="BodyTextCustom"/>
        <w:keepNext w:val="0"/>
        <w:ind w:hanging="312" w:left="312"/>
      </w:pPr>
      <w:r>
        <w:rPr>
          <w:rFonts w:ascii="Arial" w:hAnsi="Arial" w:eastAsia="Arial"/>
          <w:b/>
          <w:color w:val="000000"/>
          <w:sz w:val="20"/>
        </w:rPr>
        <w:t>5. Okul zümrelerinden gelen görüşler:</w:t>
      </w:r>
      <w:r>
        <w:rPr>
          <w:rFonts w:ascii="Arial" w:hAnsi="Arial" w:eastAsia="Arial"/>
          <w:b w:val="0"/>
          <w:color w:val="000000"/>
          <w:sz w:val="20"/>
        </w:rPr>
        <w:t xml:space="preserve"> Okul Fen Bilimleri zümre başkanları; öğretim programlarının uygulanması, yıllık planlar, ders kitapları, öğrenci hazır bulunuşluğu, ölçme ve değerlendirme, laboratuvar imkânları, dijital içerikler, özel eğitim uygulamaları ve mesleki iş birliği konularındaki görüş, öneri, ihtiyaç ve iyi uygulamalarını paylaştı. Ortak sorunların ilçe düzeyinde ele alınması; okul veya ilçe düzeyinde çözülemeyen hususların ilgili makamlara yazılı olarak sunulması görüşüldü.</w:t>
      </w:r>
    </w:p>
    <w:p>
      <w:pPr>
        <w:pStyle w:val="BodyTextCustom"/>
        <w:keepNext w:val="0"/>
        <w:ind w:hanging="312" w:left="312"/>
      </w:pPr>
      <w:r>
        <w:rPr>
          <w:rFonts w:ascii="Arial" w:hAnsi="Arial" w:eastAsia="Arial"/>
          <w:b/>
          <w:color w:val="000000"/>
          <w:sz w:val="20"/>
        </w:rPr>
        <w:t>6. Öğretim programları, yıllık planlar ve 7. sınıf uygulaması:</w:t>
      </w:r>
      <w:r>
        <w:rPr>
          <w:rFonts w:ascii="Arial" w:hAnsi="Arial" w:eastAsia="Arial"/>
          <w:b w:val="0"/>
          <w:color w:val="000000"/>
          <w:sz w:val="20"/>
        </w:rPr>
        <w:t xml:space="preserve"> 5, 6 ve 7. sınıflarda Türkiye Yüzyılı Maarif Modeli Fen Bilimleri Dersi Öğretim Programlarının, 8. sınıfta yürürlükteki Fen Bilimleri Dersi Öğretim Programının uygulanacağı belirtildi. Yıllık planların MEB taslak çerçeve yıllık planları esas alınarak okulun çalışma takvimi ve şartlarına göre düzenlenmesi; zorunlu değişikliklerin okul zümre kararıyla kayıt altına alınması gerektiği değerlendirildi. Türkiye Yüzyılı Maarif Modeli’nin 7. sınıfta ilk kez uygulanması nedeniyle ders kitabı, öğretim programı ve yıllık planın birlikte izlenmesi; sorun ve iyi örneklerin ilçe zümresi içinde paylaşılması görüşüldü.</w:t>
      </w:r>
    </w:p>
    <w:p>
      <w:pPr>
        <w:pStyle w:val="BodyTextCustom"/>
        <w:keepNext w:val="0"/>
        <w:ind w:hanging="312" w:left="312"/>
      </w:pPr>
      <w:r>
        <w:rPr>
          <w:rFonts w:ascii="Arial" w:hAnsi="Arial" w:eastAsia="Arial"/>
          <w:b/>
          <w:color w:val="000000"/>
          <w:sz w:val="20"/>
        </w:rPr>
        <w:t>7. Öğretim süreçleri, farklılaştırma ve kapsayıcı eğitim:</w:t>
      </w:r>
      <w:r>
        <w:rPr>
          <w:rFonts w:ascii="Arial" w:hAnsi="Arial" w:eastAsia="Arial"/>
          <w:b w:val="0"/>
          <w:color w:val="000000"/>
          <w:sz w:val="20"/>
        </w:rPr>
        <w:t xml:space="preserve"> Öğrenme çıktıları, süreç bileşenleri, fen bilimleri alan becerileri, kavramsal ve sosyal-duygusal öğrenme becerileri, değerler, eğilimler ve okuryazarlık becerilerinin öğretim sürecine bütüncül biçimde yansıtılması değerlendirildi. Bilimsel sorgulama, deney, gözlem, model oluşturma, problem çözme, kanıt kullanma, iş birlikli öğrenme ve proje çalışmalarına yer verilmesi; okul temelli planlama saatlerinin okul ve çevre imkânlarına göre değerlendirilmesi görüşüldü. Öğrenci ihtiyaçlarına göre destekleme ve zenginleştirme yapılması; özel eğitim ihtiyacı bulunan öğrenciler için BEP geliştirme birimi kararlarına uygun öğretim ve ölçme araçları hazırlanması ve destek eğitim odalarıyla iş birliği kurulması gerektiği belirtildi.</w:t>
      </w:r>
    </w:p>
    <w:p>
      <w:pPr>
        <w:pStyle w:val="BodyTextCustom"/>
        <w:keepNext w:val="0"/>
        <w:ind w:hanging="312" w:left="312"/>
      </w:pPr>
      <w:r>
        <w:rPr>
          <w:rFonts w:ascii="Arial" w:hAnsi="Arial" w:eastAsia="Arial"/>
          <w:b/>
          <w:color w:val="000000"/>
          <w:sz w:val="20"/>
        </w:rPr>
        <w:t>8. Ölçme ve değerlendirme ile ortak yazılı sınavlar:</w:t>
      </w:r>
      <w:r>
        <w:rPr>
          <w:rFonts w:ascii="Arial" w:hAnsi="Arial" w:eastAsia="Arial"/>
          <w:b w:val="0"/>
          <w:color w:val="000000"/>
          <w:sz w:val="20"/>
        </w:rPr>
        <w:t xml:space="preserve"> Fen Bilimleri yazılı sınavlarının güncel mevzuat, yayımlanacak resmî sınav takvimleri ve konu soru dağılım tabloları doğrultusunda yürütülmesi görüşüldü. Soruların açık uçlu veya açık uçlu ve kısa cevaplı hazırlanması; ölçülmek istenen öğrenme çıktısı, süreç bileşeni, kazanım ve becerilerle uyumlu olması gerektiği belirtildi. İlçe geneli ortak sınav yapılmasına yetkili makamca karar verilmesi hâlinde soru, cevap anahtarı ve değerlendirme araçlarının ilgili mevzuata göre hazırlanması; sınav güvenliği, gizlilik, erişilebilirlik ve mazeret sınavı süreçlerinin birlikte planlanması değerlendirildi. Bakanlıkça belirlenen uygulamalar dışında öğrencileri yarıştıran, sıralayan veya velilere mali yük getiren deneme, tarama ve hazır bulunuşluk sınavlarının yapılmaması; Bakanlıkça ücretsiz dağıtılan kaynaklar dışındaki materyallerin öğrencilere kullandırılmaması veya satın aldırılmaması gerektiği vurgulandı.</w:t>
      </w:r>
    </w:p>
    <w:p>
      <w:pPr>
        <w:pStyle w:val="BodyTextCustom"/>
        <w:keepNext w:val="0"/>
        <w:ind w:hanging="312" w:left="312"/>
      </w:pPr>
      <w:r>
        <w:rPr>
          <w:rFonts w:ascii="Arial" w:hAnsi="Arial" w:eastAsia="Arial"/>
          <w:b/>
          <w:color w:val="000000"/>
          <w:sz w:val="20"/>
        </w:rPr>
        <w:t>9. Analiz, gelişim raporları ve öğrenci başarısı:</w:t>
      </w:r>
      <w:r>
        <w:rPr>
          <w:rFonts w:ascii="Arial" w:hAnsi="Arial" w:eastAsia="Arial"/>
          <w:b w:val="0"/>
          <w:color w:val="000000"/>
          <w:sz w:val="20"/>
        </w:rPr>
        <w:t xml:space="preserve"> Ortak yazılı ve uygulamalı sınavların ardından okul, sınıf, konu ve öğrenci bazında analiz yapılması; eksik öğrenmeler için uygulanabilir eylem planları hazırlanması, sonuçların izlenmesi ve sonraki zümre toplantılarında değerlendirilmesi görüşüldü. 5, 6 ve 7. sınıflarda her ünitenin, temanın veya öğrenme alanının işlenmesinden sonra erişime açılan e-Okul gelişim raporlarının süresi içinde doldurulması ve velilerin bilgilendirilmesi gerektiği belirtildi. Okullar arası başarı farklılıklarının yalnızca sıralama amacıyla değil, ihtiyaç belirleme ve destek planlama amacıyla değerlendirilmesi benimsendi.</w:t>
      </w:r>
    </w:p>
    <w:p>
      <w:pPr>
        <w:pStyle w:val="BodyTextCustom"/>
        <w:keepNext w:val="0"/>
        <w:ind w:hanging="312" w:left="312"/>
      </w:pPr>
      <w:r>
        <w:rPr>
          <w:rFonts w:ascii="Arial" w:hAnsi="Arial" w:eastAsia="Arial"/>
          <w:b/>
          <w:color w:val="000000"/>
          <w:sz w:val="20"/>
        </w:rPr>
        <w:t>10. LGS ve Destekleme ve Yetiştirme Kursları:</w:t>
      </w:r>
      <w:r>
        <w:rPr>
          <w:rFonts w:ascii="Arial" w:hAnsi="Arial" w:eastAsia="Arial"/>
          <w:b w:val="0"/>
          <w:color w:val="000000"/>
          <w:sz w:val="20"/>
        </w:rPr>
        <w:t xml:space="preserve"> İlçe millî eğitim müdürlüğünce paylaşılacak resmî 2026 LGS Fen Bilimleri verilerinin okul, konu ve beceri alanları bakımından incelenmesi; 2027 LGS hazırlıklarının bu bulgulara göre planlanması görüşüldü. Okuduğunu anlama, tablo ve grafik yorumlama, deney düzeneği analizi, bilimsel veri kullanma, problem çözme ve kanıta dayalı çıkarım becerilerinin geliştirilmesine dengeli biçimde yer verilmesi; öğrencilerin yalnızca test çözmeye yönlendirilmemesi gerektiği belirtildi. DYK çalışmalarının ilgili Yönerge, güncel Kılavuz ve İş Takvimine göre yürütülmesi değerlendirildi.</w:t>
      </w:r>
    </w:p>
    <w:p>
      <w:pPr>
        <w:pStyle w:val="BodyTextCustom"/>
        <w:keepNext w:val="0"/>
        <w:ind w:hanging="312" w:left="312"/>
      </w:pPr>
      <w:r>
        <w:rPr>
          <w:rFonts w:ascii="Arial" w:hAnsi="Arial" w:eastAsia="Arial"/>
          <w:b/>
          <w:color w:val="000000"/>
          <w:sz w:val="20"/>
        </w:rPr>
        <w:t>11. Mesleki gelişim, iş birliği ve dijital platformlar:</w:t>
      </w:r>
      <w:r>
        <w:rPr>
          <w:rFonts w:ascii="Arial" w:hAnsi="Arial" w:eastAsia="Arial"/>
          <w:b w:val="0"/>
          <w:color w:val="000000"/>
          <w:sz w:val="20"/>
        </w:rPr>
        <w:t xml:space="preserve"> Öğretmenlerin planlama, uygulama, değerlendirme ve karar süreçlerine zümreler aracılığıyla etkin katılımının sağlanması; görüş ve önerilerinin değerlendirilmesi ve mesleki iş birliğinin güçlendirilmesi görüşüldü. Öğretmenlerin ÖBA’daki Türkiye Yüzyılı Maarif Modeli Öğretmen Eğitimi Paketlerinde kendi kademe ve alanlarına ilişkin modülleri tamamlamaları gerektiği belirtildi. Yenilenen EBA, MEBİ Bireysel Öğrenme Platformu ve Bakanlığın diğer resmî dijital içeriklerinin ders içi ve ders dışı çalışmalarda amaca uygun kullanılması; kişisel veri ve sınav güvenliği ilkelerine uyulması değerlendirildi. Fen Bilimleri öğrenme çıktılarıyla ilişkilendirilebildiği ölçüde ‘Haberimiz Olsun’ ve Duygu-Değer Temelli Dijital Esenlik Projesi içeriklerinden yararlanılması görüşüldü.</w:t>
      </w:r>
    </w:p>
    <w:p>
      <w:pPr>
        <w:pStyle w:val="BodyTextCustom"/>
        <w:keepNext w:val="0"/>
        <w:ind w:hanging="312" w:left="312"/>
      </w:pPr>
      <w:r>
        <w:rPr>
          <w:rFonts w:ascii="Arial" w:hAnsi="Arial" w:eastAsia="Arial"/>
          <w:b/>
          <w:color w:val="000000"/>
          <w:sz w:val="20"/>
        </w:rPr>
        <w:t>12. Laboratuvar, materyal ve iş sağlığı ve güvenliği:</w:t>
      </w:r>
      <w:r>
        <w:rPr>
          <w:rFonts w:ascii="Arial" w:hAnsi="Arial" w:eastAsia="Arial"/>
          <w:b w:val="0"/>
          <w:color w:val="000000"/>
          <w:sz w:val="20"/>
        </w:rPr>
        <w:t xml:space="preserve"> Okulların laboratuvar, deney araç-gereçleri, kimyasal envanteri, koruyucu donanım ve depolama şartlarına ilişkin ihtiyaçları değerlendirildi. Kullanılabilir materyallerin okul yönetimlerinin onayıyla ve güvenlik şartları gözetilerek okullar arasında paylaşılabilmesi; deneylerden önce risk değerlendirmesi yapılması, öğrencilere güvenlik bilgilendirmesi verilmesi, kimyasalların etiketli ve uygun koşullarda saklanması ve atıkların güvenli biçimde uzaklaştırılması gerektiği vurgulandı.</w:t>
      </w:r>
    </w:p>
    <w:p>
      <w:pPr>
        <w:pStyle w:val="BodyTextCustom"/>
        <w:keepNext w:val="0"/>
        <w:ind w:hanging="312" w:left="312"/>
      </w:pPr>
      <w:r>
        <w:rPr>
          <w:rFonts w:ascii="Arial" w:hAnsi="Arial" w:eastAsia="Arial"/>
          <w:b/>
          <w:color w:val="000000"/>
          <w:sz w:val="20"/>
        </w:rPr>
        <w:t>13. Bilimsel, sosyal ve tematik çalışmalar:</w:t>
      </w:r>
      <w:r>
        <w:rPr>
          <w:rFonts w:ascii="Arial" w:hAnsi="Arial" w:eastAsia="Arial"/>
          <w:b w:val="0"/>
          <w:color w:val="000000"/>
          <w:sz w:val="20"/>
        </w:rPr>
        <w:t xml:space="preserve"> TÜBİTAK 4006 Bilim Fuarı, bilim şenlikleri, proje ve yarışmalar, çevre ve sürdürülebilirlik faaliyetleri, gezi-gözlem çalışmaları, okul dışı öğrenme ve sosyal sorumluluk etkinlikleri değerlendirildi. Çalışmaların öğretim programıyla ilişkili, öğrenci güvenliğini gözeten ve gerekli izinleri tamamlanmış biçimde yürütülmesi; Okul Dışı Öğrenme Ortamları Dijital Platformu içeriklerinden yararlanılması görüşüldü. ‘Ailemle Eğitim Yolculuğum’, Yaşam Becerileri Projesi, Tutum, Yatırım ve Türk Malları Haftası ile yerli üretim, teknoloji ve tasarruf bilincine yönelik etkinliklerin Fen Bilimleri dersiyle ilişkilendirilebildiği ölçüde ele alınması; okul zümrelerine örnek uygulama paylaşımı yapılması değerlendirildi.</w:t>
      </w:r>
    </w:p>
    <w:p>
      <w:pPr>
        <w:pStyle w:val="BodyTextCustom"/>
        <w:keepNext w:val="0"/>
        <w:ind w:hanging="312" w:left="312"/>
      </w:pPr>
      <w:r>
        <w:rPr>
          <w:rFonts w:ascii="Arial" w:hAnsi="Arial" w:eastAsia="Arial"/>
          <w:b/>
          <w:color w:val="000000"/>
          <w:sz w:val="20"/>
        </w:rPr>
        <w:t>14. İl zümresine ve ilçe yönetimine sunulacak öneriler:</w:t>
      </w:r>
      <w:r>
        <w:rPr>
          <w:rFonts w:ascii="Arial" w:hAnsi="Arial" w:eastAsia="Arial"/>
          <w:b w:val="0"/>
          <w:color w:val="000000"/>
          <w:sz w:val="20"/>
        </w:rPr>
        <w:t xml:space="preserve"> İlçe düzeyinde çözülemeyen öğretim programı, ders kitabı, ölçme ve değerlendirme, dijital içerik, laboratuvar, materyal, özel eğitim ve hizmet içi eğitim ihtiyaçlarının ortaklaştırılarak yazılı hâle getirilmesi; yetki alanına göre il zümresine veya ilçe millî eğitim müdürlüğüne sunulması görüşüldü.</w:t>
      </w:r>
    </w:p>
    <w:p>
      <w:pPr>
        <w:pStyle w:val="BodyTextCustom"/>
        <w:keepNext w:val="0"/>
        <w:ind w:hanging="312" w:left="312"/>
      </w:pPr>
      <w:r>
        <w:rPr>
          <w:rFonts w:ascii="Arial" w:hAnsi="Arial" w:eastAsia="Arial"/>
          <w:b/>
          <w:color w:val="000000"/>
          <w:sz w:val="20"/>
        </w:rPr>
        <w:t>15. Dilek ve temenniler:</w:t>
      </w:r>
      <w:r>
        <w:rPr>
          <w:rFonts w:ascii="Arial" w:hAnsi="Arial" w:eastAsia="Arial"/>
          <w:b w:val="0"/>
          <w:color w:val="000000"/>
          <w:sz w:val="20"/>
        </w:rPr>
        <w:t xml:space="preserve"> Gündem maddelerinin görüşülmesinin ardından alınan kararların ilçe zümre başkanı tarafından izlenmesi, ilçe millî eğitim müdürünün onayından sonra eğitim kurumlarına duyurulması, ihtiyaç hâlinde ara toplantı yapılması ve sonuçların ikinci dönem başı ile yıl sonu toplantılarında değerlendirilmesi temenni edildi. Toplantı, başarılı ve verimli bir eğitim öğretim yılı dilekleriyle sona erdirildi.</w:t>
      </w:r>
    </w:p>
    <w:p>
      <w:pPr>
        <w:pStyle w:val="SectionHeading"/>
        <w:keepNext/>
      </w:pPr>
      <w:r>
        <w:rPr>
          <w:rFonts w:ascii="Arial" w:hAnsi="Arial" w:eastAsia="Arial"/>
          <w:b/>
          <w:color w:val="1F4E79"/>
          <w:sz w:val="22"/>
        </w:rPr>
        <w:t>İLÇE DÜZEYİNDE DEĞERLENDİRME VE ÖNERİ KAYITLARI</w:t>
      </w:r>
    </w:p>
    <w:p>
      <w:pPr>
        <w:pStyle w:val="BodyTextCustom"/>
      </w:pPr>
      <w:r>
        <w:rPr>
          <w:rFonts w:ascii="Arial" w:hAnsi="Arial" w:eastAsia="Arial"/>
          <w:b/>
          <w:color w:val="000000"/>
          <w:sz w:val="20"/>
        </w:rPr>
        <w:t>Aşağıdaki alanlar, toplantıda paylaşılan gerçek okul verileri ve okul zümre görüşleri doğrultusunda doldurulur.</w:t>
      </w:r>
    </w:p>
    <w:p>
      <w:pPr>
        <w:pStyle w:val="SectionHeading"/>
        <w:keepNext/>
      </w:pPr>
      <w:r>
        <w:rPr>
          <w:rFonts w:ascii="Arial" w:hAnsi="Arial" w:eastAsia="Arial"/>
          <w:b/>
          <w:color w:val="1F4E79"/>
          <w:sz w:val="22"/>
        </w:rPr>
        <w:t>OKULLARDAN GELEN ORTAK İHTİYAÇ VE İYİ UYGULAMALAR</w:t>
      </w:r>
    </w:p>
    <w:tbl>
      <w:tblPr>
        <w:tblStyle w:val="TableGrid"/>
        <w:tblW w:type="dxa" w:w="10040"/>
        <w:jc w:val="center"/>
        <w:tblLayout w:type="fixed"/>
        <w:tblLook w:firstColumn="1" w:firstRow="1" w:lastColumn="0" w:lastRow="0" w:noHBand="0" w:noVBand="1" w:val="04A0"/>
      </w:tblPr>
      <w:tblGrid>
        <w:gridCol w:w="2300"/>
        <w:gridCol w:w="2700"/>
        <w:gridCol w:w="2700"/>
        <w:gridCol w:w="2340"/>
      </w:tblGrid>
      <w:tr>
        <w:trPr>
          <w:tblHeader w:val="true"/>
        </w:trPr>
        <w:tc>
          <w:tcPr>
            <w:tcW w:type="dxa" w:w="23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7"/>
              </w:rPr>
              <w:t>Okul/Kurum</w:t>
            </w:r>
          </w:p>
        </w:tc>
        <w:tc>
          <w:tcPr>
            <w:tcW w:type="dxa" w:w="27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7"/>
              </w:rPr>
              <w:t>İhtiyaç veya Sorun</w:t>
            </w:r>
          </w:p>
        </w:tc>
        <w:tc>
          <w:tcPr>
            <w:tcW w:type="dxa" w:w="27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7"/>
              </w:rPr>
              <w:t>İyi Uygulama</w:t>
            </w:r>
          </w:p>
        </w:tc>
        <w:tc>
          <w:tcPr>
            <w:tcW w:type="dxa" w:w="234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7"/>
              </w:rPr>
              <w:t>Önerilen İşlem</w:t>
            </w:r>
          </w:p>
        </w:tc>
      </w:tr>
      <w:tr>
        <w:tc>
          <w:tcPr>
            <w:tcW w:type="dxa" w:w="23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3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23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3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23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3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23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7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3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bl>
    <w:p>
      <w:pPr>
        <w:pStyle w:val="SectionHeading"/>
        <w:keepNext/>
      </w:pPr>
      <w:r>
        <w:rPr>
          <w:rFonts w:ascii="Arial" w:hAnsi="Arial" w:eastAsia="Arial"/>
          <w:b/>
          <w:color w:val="1F4E79"/>
          <w:sz w:val="22"/>
        </w:rPr>
        <w:t>İLÇE GENELİ ORTAK YAZILI SINAV PLANLAMA KAYDI</w:t>
      </w:r>
    </w:p>
    <w:p>
      <w:pPr>
        <w:pStyle w:val="BodyTextCustom"/>
      </w:pPr>
      <w:r>
        <w:rPr>
          <w:rFonts w:ascii="Arial" w:hAnsi="Arial" w:eastAsia="Arial"/>
          <w:b w:val="0"/>
          <w:color w:val="000000"/>
          <w:sz w:val="20"/>
        </w:rPr>
        <w:t>Bu tablo yalnızca yetkili makamca ilçe geneli ortak yazılı sınav yapılmasına karar verilmesi hâlinde doldurulur. Bakanlık veya il geneli ortak sınav takvimi yayımlanırsa resmî takvim öncelikle uygulanır.</w:t>
      </w:r>
    </w:p>
    <w:tbl>
      <w:tblPr>
        <w:tblStyle w:val="TableGrid"/>
        <w:tblW w:type="dxa" w:w="10040"/>
        <w:jc w:val="center"/>
        <w:tblLayout w:type="fixed"/>
        <w:tblLook w:firstColumn="1" w:firstRow="1" w:lastColumn="0" w:lastRow="0" w:noHBand="0" w:noVBand="1" w:val="04A0"/>
      </w:tblPr>
      <w:tblGrid>
        <w:gridCol w:w="1500"/>
        <w:gridCol w:w="2135"/>
        <w:gridCol w:w="2135"/>
        <w:gridCol w:w="2135"/>
        <w:gridCol w:w="2135"/>
      </w:tblGrid>
      <w:tr>
        <w:trPr>
          <w:tblHeader w:val="true"/>
        </w:trPr>
        <w:tc>
          <w:tcPr>
            <w:tcW w:type="dxa" w:w="15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6"/>
              </w:rPr>
              <w:t>Sınıf</w:t>
            </w:r>
          </w:p>
        </w:tc>
        <w:tc>
          <w:tcPr>
            <w:tcW w:type="dxa" w:w="2135"/>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6"/>
              </w:rPr>
              <w:t>1. Dönem 1. Yazılı</w:t>
            </w:r>
          </w:p>
        </w:tc>
        <w:tc>
          <w:tcPr>
            <w:tcW w:type="dxa" w:w="2135"/>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6"/>
              </w:rPr>
              <w:t>1. Dönem 2. Yazılı</w:t>
            </w:r>
          </w:p>
        </w:tc>
        <w:tc>
          <w:tcPr>
            <w:tcW w:type="dxa" w:w="2135"/>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6"/>
              </w:rPr>
              <w:t>2. Dönem 1. Yazılı</w:t>
            </w:r>
          </w:p>
        </w:tc>
        <w:tc>
          <w:tcPr>
            <w:tcW w:type="dxa" w:w="2135"/>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6"/>
              </w:rPr>
              <w:t>2. Dönem 2. Yazılı</w:t>
            </w:r>
          </w:p>
        </w:tc>
      </w:tr>
      <w:tr>
        <w:tc>
          <w:tcPr>
            <w:tcW w:type="dxa" w:w="150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7"/>
              </w:rPr>
              <w:t>5. Sınıf</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r>
      <w:tr>
        <w:tc>
          <w:tcPr>
            <w:tcW w:type="dxa" w:w="150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7"/>
              </w:rPr>
              <w:t>6. Sınıf</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r>
      <w:tr>
        <w:tc>
          <w:tcPr>
            <w:tcW w:type="dxa" w:w="150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7"/>
              </w:rPr>
              <w:t>7. Sınıf</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r>
      <w:tr>
        <w:tc>
          <w:tcPr>
            <w:tcW w:type="dxa" w:w="150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7"/>
              </w:rPr>
              <w:t>8. Sınıf</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c>
          <w:tcPr>
            <w:tcW w:type="dxa" w:w="2135"/>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7"/>
              </w:rPr>
              <w:t>…/…/……</w:t>
            </w:r>
          </w:p>
        </w:tc>
      </w:tr>
    </w:tbl>
    <w:p>
      <w:pPr>
        <w:pStyle w:val="SectionHeading"/>
        <w:keepNext/>
      </w:pPr>
      <w:r>
        <w:rPr>
          <w:rFonts w:ascii="Arial" w:hAnsi="Arial" w:eastAsia="Arial"/>
          <w:b/>
          <w:color w:val="1F4E79"/>
          <w:sz w:val="22"/>
        </w:rPr>
        <w:t>İL ZÜMRESİNE / İLÇE MİLLÎ EĞİTİM MÜDÜRLÜĞÜNE SUNULACAK ÖNERİLER</w:t>
      </w:r>
    </w:p>
    <w:tbl>
      <w:tblPr>
        <w:tblStyle w:val="TableGrid"/>
        <w:tblW w:type="dxa" w:w="10040"/>
        <w:jc w:val="center"/>
        <w:tblLayout w:type="fixed"/>
        <w:tblLook w:firstColumn="1" w:firstRow="1" w:lastColumn="0" w:lastRow="0" w:noHBand="0" w:noVBand="1" w:val="04A0"/>
      </w:tblPr>
      <w:tblGrid>
        <w:gridCol w:w="900"/>
        <w:gridCol w:w="6200"/>
        <w:gridCol w:w="2940"/>
      </w:tblGrid>
      <w:tr>
        <w:trPr>
          <w:tblHeader w:val="true"/>
        </w:trPr>
        <w:tc>
          <w:tcPr>
            <w:tcW w:type="dxa" w:w="9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Sıra</w:t>
            </w:r>
          </w:p>
        </w:tc>
        <w:tc>
          <w:tcPr>
            <w:tcW w:type="dxa" w:w="62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Görüş veya Öneri</w:t>
            </w:r>
          </w:p>
        </w:tc>
        <w:tc>
          <w:tcPr>
            <w:tcW w:type="dxa" w:w="294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Sunulacağı Birim</w:t>
            </w:r>
          </w:p>
        </w:tc>
      </w:tr>
      <w:tr>
        <w:tc>
          <w:tcPr>
            <w:tcW w:type="dxa" w:w="9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w:t>
            </w:r>
          </w:p>
        </w:tc>
        <w:tc>
          <w:tcPr>
            <w:tcW w:type="dxa" w:w="62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9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2</w:t>
            </w:r>
          </w:p>
        </w:tc>
        <w:tc>
          <w:tcPr>
            <w:tcW w:type="dxa" w:w="62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9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3</w:t>
            </w:r>
          </w:p>
        </w:tc>
        <w:tc>
          <w:tcPr>
            <w:tcW w:type="dxa" w:w="62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9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4</w:t>
            </w:r>
          </w:p>
        </w:tc>
        <w:tc>
          <w:tcPr>
            <w:tcW w:type="dxa" w:w="62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2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bl>
    <w:p>
      <w:pPr>
        <w:pStyle w:val="SectionHeading"/>
        <w:keepNext/>
      </w:pPr>
      <w:r>
        <w:rPr>
          <w:rFonts w:ascii="Arial" w:hAnsi="Arial" w:eastAsia="Arial"/>
          <w:b/>
          <w:color w:val="1F4E79"/>
          <w:sz w:val="22"/>
        </w:rPr>
        <w:t>ALINAN KARARLAR</w:t>
      </w:r>
    </w:p>
    <w:p>
      <w:pPr>
        <w:pStyle w:val="BodyTextCustom"/>
        <w:keepNext w:val="0"/>
        <w:ind w:hanging="312" w:left="312"/>
      </w:pPr>
      <w:r>
        <w:rPr>
          <w:rFonts w:ascii="Arial" w:hAnsi="Arial" w:eastAsia="Arial"/>
          <w:b w:val="0"/>
          <w:color w:val="000000"/>
          <w:sz w:val="20"/>
        </w:rPr>
        <w:t>1. 2026-2027 eğitim öğretim yılı Fen Bilimleri dersi ilçe zümre çalışmalarının güncel mevzuat, resmî öğretim programları, çalışma takvimi, 19/08/2026 tarihli ve 2026/70 sayılı Genelge ile Bakanlıkça yıl içinde yayımlanacak resmî duyurular doğrultusunda yürütülmesine,</w:t>
      </w:r>
    </w:p>
    <w:p>
      <w:pPr>
        <w:pStyle w:val="BodyTextCustom"/>
        <w:keepNext w:val="0"/>
        <w:ind w:hanging="312" w:left="312"/>
      </w:pPr>
      <w:r>
        <w:rPr>
          <w:rFonts w:ascii="Arial" w:hAnsi="Arial" w:eastAsia="Arial"/>
          <w:b w:val="0"/>
          <w:color w:val="000000"/>
          <w:sz w:val="20"/>
        </w:rPr>
        <w:t>2. İlçe zümre başkanı ve yedek başkanın görev sürelerinin toplantı görevleri tablosuna işlenmesine; görev süresi devam edenlerin görevlerine devam etmesine, seçim yapılması gereken hâllerde Eğitim Kurulları ve Zümreleri Yönergesindeki usule göre işlem yapılmasına ve sonucun ilgili sisteme işlenerek ilçe yönetimine bildirilmesine,</w:t>
      </w:r>
    </w:p>
    <w:p>
      <w:pPr>
        <w:pStyle w:val="BodyTextCustom"/>
        <w:keepNext w:val="0"/>
        <w:ind w:hanging="312" w:left="312"/>
      </w:pPr>
      <w:r>
        <w:rPr>
          <w:rFonts w:ascii="Arial" w:hAnsi="Arial" w:eastAsia="Arial"/>
          <w:b w:val="0"/>
          <w:color w:val="000000"/>
          <w:sz w:val="20"/>
        </w:rPr>
        <w:t>3. Okul zümrelerinden gelen ortak sorun, ihtiyaç, öneri ve iyi uygulamaların ilçe zümre başkanı tarafından izlenmesine; ilçe düzeyinde çözülebilecek hususlarda okullar arasında koordinasyon sağlanmasına,</w:t>
      </w:r>
    </w:p>
    <w:p>
      <w:pPr>
        <w:pStyle w:val="BodyTextCustom"/>
        <w:keepNext w:val="0"/>
        <w:ind w:hanging="312" w:left="312"/>
      </w:pPr>
      <w:r>
        <w:rPr>
          <w:rFonts w:ascii="Arial" w:hAnsi="Arial" w:eastAsia="Arial"/>
          <w:b w:val="0"/>
          <w:color w:val="000000"/>
          <w:sz w:val="20"/>
        </w:rPr>
        <w:t>4. 5, 6 ve 7. sınıflarda Türkiye Yüzyılı Maarif Modeli Fen Bilimleri Dersi Öğretim Programlarının, 8. sınıfta yürürlükteki Fen Bilimleri Dersi Öğretim Programının; yıllık planlarda ise MEB taslak çerçeve yıllık planlarının esas alınmasına,</w:t>
      </w:r>
    </w:p>
    <w:p>
      <w:pPr>
        <w:pStyle w:val="BodyTextCustom"/>
        <w:keepNext w:val="0"/>
        <w:ind w:hanging="312" w:left="312"/>
      </w:pPr>
      <w:r>
        <w:rPr>
          <w:rFonts w:ascii="Arial" w:hAnsi="Arial" w:eastAsia="Arial"/>
          <w:b w:val="0"/>
          <w:color w:val="000000"/>
          <w:sz w:val="20"/>
        </w:rPr>
        <w:t>5. Türkiye Yüzyılı Maarif Modeli’nin 7. sınıfta ilk kez uygulanması nedeniyle ders kitabı, öğretim programı ve yıllık planın birlikte takip edilmesine; karşılaşılan sorunlar ile iyi uygulamaların ilçe zümresi içinde düzenli olarak paylaşılmasına,</w:t>
      </w:r>
    </w:p>
    <w:p>
      <w:pPr>
        <w:pStyle w:val="BodyTextCustom"/>
        <w:keepNext w:val="0"/>
        <w:ind w:hanging="312" w:left="312"/>
      </w:pPr>
      <w:r>
        <w:rPr>
          <w:rFonts w:ascii="Arial" w:hAnsi="Arial" w:eastAsia="Arial"/>
          <w:b w:val="0"/>
          <w:color w:val="000000"/>
          <w:sz w:val="20"/>
        </w:rPr>
        <w:t>6. Öğrenme çıktıları, süreç bileşenleri, kazanımlar, fen bilimleri alan becerileri, değerler, eğilimler ve okuryazarlık becerilerinin öğretim süreçlerine programın öngördüğü biçimde yansıtılmasına,</w:t>
      </w:r>
    </w:p>
    <w:p>
      <w:pPr>
        <w:pStyle w:val="BodyTextCustom"/>
        <w:keepNext w:val="0"/>
        <w:ind w:hanging="312" w:left="312"/>
      </w:pPr>
      <w:r>
        <w:rPr>
          <w:rFonts w:ascii="Arial" w:hAnsi="Arial" w:eastAsia="Arial"/>
          <w:b w:val="0"/>
          <w:color w:val="000000"/>
          <w:sz w:val="20"/>
        </w:rPr>
        <w:t>7. ‘Maarifin Kalbinde Oyun’ teması kapsamında Fen Bilimleri öğrenme çıktıları ve kazanımlarıyla ilişkilendirilen, öğrenci yaş ve gelişim özelliklerine uygun, güvenli ve kapsayıcı oyun etkinliklerine yer verilmesine; uygulamalarda Millî Eğitim Bakanlığı Oyun Politika Belgesi’nin esas alınmasına,</w:t>
      </w:r>
    </w:p>
    <w:p>
      <w:pPr>
        <w:pStyle w:val="BodyTextCustom"/>
        <w:keepNext w:val="0"/>
        <w:ind w:hanging="312" w:left="312"/>
      </w:pPr>
      <w:r>
        <w:rPr>
          <w:rFonts w:ascii="Arial" w:hAnsi="Arial" w:eastAsia="Arial"/>
          <w:b w:val="0"/>
          <w:color w:val="000000"/>
          <w:sz w:val="20"/>
        </w:rPr>
        <w:t>8. Genelge kapsamındaki yaşam becerileri, okul dışı öğrenme, millî birlik ve beraberlik, dijital esenlik, medya okuryazarlığı, aile katılımı, sürdürülebilirlik, yerli üretim ve tasarruf bilinci çalışmalarının Fen Bilimleri dersinin amaç ve içeriğiyle ilişkilendirilebildiği ölçüde okul zümrelerince planlanmasına,</w:t>
      </w:r>
    </w:p>
    <w:p>
      <w:pPr>
        <w:pStyle w:val="BodyTextCustom"/>
        <w:keepNext w:val="0"/>
        <w:ind w:hanging="312" w:left="312"/>
      </w:pPr>
      <w:r>
        <w:rPr>
          <w:rFonts w:ascii="Arial" w:hAnsi="Arial" w:eastAsia="Arial"/>
          <w:b w:val="0"/>
          <w:color w:val="000000"/>
          <w:sz w:val="20"/>
        </w:rPr>
        <w:t>9. Okul temelli planlama saatlerinin okul ve çevre imkânlarına uygun deney, araştırma, gözlem, proje, bilim şenliği, yerel çevre incelemesi ve benzeri etkinliklerle değerlendirilmesine,</w:t>
      </w:r>
    </w:p>
    <w:p>
      <w:pPr>
        <w:pStyle w:val="BodyTextCustom"/>
        <w:keepNext w:val="0"/>
        <w:ind w:hanging="312" w:left="312"/>
      </w:pPr>
      <w:r>
        <w:rPr>
          <w:rFonts w:ascii="Arial" w:hAnsi="Arial" w:eastAsia="Arial"/>
          <w:b w:val="0"/>
          <w:color w:val="000000"/>
          <w:sz w:val="20"/>
        </w:rPr>
        <w:t>10. Öğrencilerin hazır bulunuşluk, ilgi, ihtiyaç ve öğrenme hızları dikkate alınarak destekleme ve zenginleştirme çalışmalarının yürütülmesine; özel eğitim ihtiyacı bulunan öğrenciler için BEP geliştirme birimi kararlarına uygun öğretim ve ölçme uygulamaları yapılmasına,</w:t>
      </w:r>
    </w:p>
    <w:p>
      <w:pPr>
        <w:pStyle w:val="BodyTextCustom"/>
        <w:keepNext w:val="0"/>
        <w:ind w:hanging="312" w:left="312"/>
      </w:pPr>
      <w:r>
        <w:rPr>
          <w:rFonts w:ascii="Arial" w:hAnsi="Arial" w:eastAsia="Arial"/>
          <w:b w:val="0"/>
          <w:color w:val="000000"/>
          <w:sz w:val="20"/>
        </w:rPr>
        <w:t>11. Fen Bilimleri yazılı sınavlarının güncel mevzuat, resmî ortak sınav kararları ve konu soru dağılım tablolarına uygun; açık uçlu veya açık uçlu ve kısa cevaplı sorulardan oluşturulmasına,</w:t>
      </w:r>
    </w:p>
    <w:p>
      <w:pPr>
        <w:pStyle w:val="BodyTextCustom"/>
        <w:keepNext w:val="0"/>
        <w:ind w:hanging="312" w:left="312"/>
      </w:pPr>
      <w:r>
        <w:rPr>
          <w:rFonts w:ascii="Arial" w:hAnsi="Arial" w:eastAsia="Arial"/>
          <w:b w:val="0"/>
          <w:color w:val="000000"/>
          <w:sz w:val="20"/>
        </w:rPr>
        <w:t>12. İlçe geneli ortak yazılı sınav yapılmasına yetkili makamca karar verilmesi hâlinde sınav tarihlerinin …/…/…… alanlarına işlenmesine; Bakanlık veya il geneli ortak sınav takvimi yayımlandığında resmî takvimin öncelikle uygulanmasına,</w:t>
      </w:r>
    </w:p>
    <w:p>
      <w:pPr>
        <w:pStyle w:val="BodyTextCustom"/>
        <w:keepNext w:val="0"/>
        <w:ind w:hanging="312" w:left="312"/>
      </w:pPr>
      <w:r>
        <w:rPr>
          <w:rFonts w:ascii="Arial" w:hAnsi="Arial" w:eastAsia="Arial"/>
          <w:b w:val="0"/>
          <w:color w:val="000000"/>
          <w:sz w:val="20"/>
        </w:rPr>
        <w:t>13. İlçe geneli ortak sınav soruları, cevap anahtarları ve değerlendirme araçlarının ilgili konu soru dağılım tabloları ile mevzuat doğrultusunda hazırlanmasına; sınav güvenliği, gizlilik, tarafsızlık, erişilebilirlik ve mazeret sınavı esaslarına uyulmasına,</w:t>
      </w:r>
    </w:p>
    <w:p>
      <w:pPr>
        <w:pStyle w:val="BodyTextCustom"/>
        <w:keepNext w:val="0"/>
        <w:ind w:hanging="312" w:left="312"/>
      </w:pPr>
      <w:r>
        <w:rPr>
          <w:rFonts w:ascii="Arial" w:hAnsi="Arial" w:eastAsia="Arial"/>
          <w:b w:val="0"/>
          <w:color w:val="000000"/>
          <w:sz w:val="20"/>
        </w:rPr>
        <w:t>14. Bakanlıkça belirlenen ortak sınavlar ve Bakanlık tarafından hazırlanan ölçme araçları dışında öğrencileri yarıştıran, sıralamaya tabi tutan veya velilere mali yük getiren deneme, tarama ve hazır bulunuşluk sınavlarının yapılmamasına; Bakanlıkça ücretsiz dağıtılanlar dışındaki kaynakların öğrencilere kullandırılmamasına veya satın aldırılmamasına,</w:t>
      </w:r>
    </w:p>
    <w:p>
      <w:pPr>
        <w:pStyle w:val="BodyTextCustom"/>
        <w:keepNext w:val="0"/>
        <w:ind w:hanging="312" w:left="312"/>
      </w:pPr>
      <w:r>
        <w:rPr>
          <w:rFonts w:ascii="Arial" w:hAnsi="Arial" w:eastAsia="Arial"/>
          <w:b w:val="0"/>
          <w:color w:val="000000"/>
          <w:sz w:val="20"/>
        </w:rPr>
        <w:t>15. Her ortak yazılı ve uygulamalı sınav sonrasında okul, sınıf, konu ve öğrenci bazında analiz yapılmasına; eksik öğrenmeler için eylem planı hazırlanmasına, uygulanmasına ve sonuçlarının izlenmesine,</w:t>
      </w:r>
    </w:p>
    <w:p>
      <w:pPr>
        <w:pStyle w:val="BodyTextCustom"/>
        <w:keepNext w:val="0"/>
        <w:ind w:hanging="312" w:left="312"/>
      </w:pPr>
      <w:r>
        <w:rPr>
          <w:rFonts w:ascii="Arial" w:hAnsi="Arial" w:eastAsia="Arial"/>
          <w:b w:val="0"/>
          <w:color w:val="000000"/>
          <w:sz w:val="20"/>
        </w:rPr>
        <w:t>16. 5, 6 ve 7. sınıflarda e-Okul gelişim raporlarının her ünite, tema veya öğrenme alanının işlenmesinin ardından erişime açıldığında süresi içinde doldurulmasına ve velilerin raporların içeriği hakkında bilgilendirilmesine,</w:t>
      </w:r>
    </w:p>
    <w:p>
      <w:pPr>
        <w:pStyle w:val="BodyTextCustom"/>
        <w:keepNext w:val="0"/>
        <w:ind w:hanging="312" w:left="312"/>
      </w:pPr>
      <w:r>
        <w:rPr>
          <w:rFonts w:ascii="Arial" w:hAnsi="Arial" w:eastAsia="Arial"/>
          <w:b w:val="0"/>
          <w:color w:val="000000"/>
          <w:sz w:val="20"/>
        </w:rPr>
        <w:t>17. 2026 LGS Fen Bilimleri sonuçlarının ilçe millî eğitim müdürlüğünce paylaşılacak resmî veriler doğrultusunda okul, konu ve beceri alanları bakımından değerlendirilmesine; 2027 LGS ve DYK çalışmalarının bu sonuçlar ile ilgili mevzuat doğrultusunda planlanmasına,</w:t>
      </w:r>
    </w:p>
    <w:p>
      <w:pPr>
        <w:pStyle w:val="BodyTextCustom"/>
        <w:keepNext w:val="0"/>
        <w:ind w:hanging="312" w:left="312"/>
      </w:pPr>
      <w:r>
        <w:rPr>
          <w:rFonts w:ascii="Arial" w:hAnsi="Arial" w:eastAsia="Arial"/>
          <w:b w:val="0"/>
          <w:color w:val="000000"/>
          <w:sz w:val="20"/>
        </w:rPr>
        <w:t>18. Öğretmenlerin ÖBA üzerinden erişime sunulan Türkiye Yüzyılı Maarif Modeli Öğretmen Eğitimi Paketlerinde görev yaptıkları kademe ve alana ilişkin modülleri tamamlamalarına; mesleki iş birliği ve iyi uygulama paylaşımının güçlendirilmesine,</w:t>
      </w:r>
    </w:p>
    <w:p>
      <w:pPr>
        <w:pStyle w:val="BodyTextCustom"/>
        <w:keepNext w:val="0"/>
        <w:ind w:hanging="312" w:left="312"/>
      </w:pPr>
      <w:r>
        <w:rPr>
          <w:rFonts w:ascii="Arial" w:hAnsi="Arial" w:eastAsia="Arial"/>
          <w:b w:val="0"/>
          <w:color w:val="000000"/>
          <w:sz w:val="20"/>
        </w:rPr>
        <w:t>19. Yenilenen EBA, MEBİ Bireysel Öğrenme Platformu ve Bakanlığın diğer resmî dijital eğitim içeriklerinin öğrenci ihtiyaçlarına ve ders amaçlarına uygun kullanılmasına; kişisel veri, telif ve sınav güvenliği ilkelerine uyulmasına,</w:t>
      </w:r>
    </w:p>
    <w:p>
      <w:pPr>
        <w:pStyle w:val="BodyTextCustom"/>
        <w:keepNext w:val="0"/>
        <w:ind w:hanging="312" w:left="312"/>
      </w:pPr>
      <w:r>
        <w:rPr>
          <w:rFonts w:ascii="Arial" w:hAnsi="Arial" w:eastAsia="Arial"/>
          <w:b w:val="0"/>
          <w:color w:val="000000"/>
          <w:sz w:val="20"/>
        </w:rPr>
        <w:t>20. Okulların laboratuvar, deney araç-gereçleri, kimyasal envanteri ve koruyucu donanım ihtiyaçlarının dönem başında belirlenerek okul ve ilçe yönetimine bildirilmesine; uygun araç-gereçlerin okul yönetimlerinin onayı ve güvenlik şartlarıyla okullar arasında paylaşılmasının değerlendirilmesine,</w:t>
      </w:r>
    </w:p>
    <w:p>
      <w:pPr>
        <w:pStyle w:val="BodyTextCustom"/>
        <w:keepNext w:val="0"/>
        <w:ind w:hanging="312" w:left="312"/>
      </w:pPr>
      <w:r>
        <w:rPr>
          <w:rFonts w:ascii="Arial" w:hAnsi="Arial" w:eastAsia="Arial"/>
          <w:b w:val="0"/>
          <w:color w:val="000000"/>
          <w:sz w:val="20"/>
        </w:rPr>
        <w:t>21. Deney ve etkinliklerde risk değerlendirmesi yapılmasına, öğrencilere güvenlik bilgilendirmesi verilmesine, kimyasalların etiketli ve uygun koşullarda saklanmasına ve atıkların güvenli biçimde uzaklaştırılmasına,</w:t>
      </w:r>
    </w:p>
    <w:p>
      <w:pPr>
        <w:pStyle w:val="BodyTextCustom"/>
        <w:keepNext w:val="0"/>
        <w:ind w:hanging="312" w:left="312"/>
      </w:pPr>
      <w:r>
        <w:rPr>
          <w:rFonts w:ascii="Arial" w:hAnsi="Arial" w:eastAsia="Arial"/>
          <w:b w:val="0"/>
          <w:color w:val="000000"/>
          <w:sz w:val="20"/>
        </w:rPr>
        <w:t>22. TÜBİTAK 4006, bilim şenlikleri, proje ve yarışmalar, çevre-sürdürülebilirlik, gezi-gözlem, okul dışı öğrenme ve sosyal sorumluluk çalışmalarına okul imkânları doğrultusunda katılımın teşvik edilmesine; gerekli izin ve güvenlik süreçlerinin tamamlanmasına,</w:t>
      </w:r>
    </w:p>
    <w:p>
      <w:pPr>
        <w:pStyle w:val="BodyTextCustom"/>
        <w:keepNext w:val="0"/>
        <w:ind w:hanging="312" w:left="312"/>
      </w:pPr>
      <w:r>
        <w:rPr>
          <w:rFonts w:ascii="Arial" w:hAnsi="Arial" w:eastAsia="Arial"/>
          <w:b w:val="0"/>
          <w:color w:val="000000"/>
          <w:sz w:val="20"/>
        </w:rPr>
        <w:t>23. İlçe düzeyinde çözülemeyen öğretim programı, ders kitabı, ölçme ve değerlendirme, dijital içerik, laboratuvar, materyal, özel eğitim ve hizmet içi eğitim ihtiyaçlarının yazılı olarak yetkili birime sunulmasına,</w:t>
      </w:r>
    </w:p>
    <w:p>
      <w:pPr>
        <w:pStyle w:val="BodyTextCustom"/>
        <w:keepNext w:val="0"/>
        <w:ind w:hanging="312" w:left="312"/>
      </w:pPr>
      <w:r>
        <w:rPr>
          <w:rFonts w:ascii="Arial" w:hAnsi="Arial" w:eastAsia="Arial"/>
          <w:b w:val="0"/>
          <w:color w:val="000000"/>
          <w:sz w:val="20"/>
        </w:rPr>
        <w:t>24. Alınan kararların ilçe millî eğitim müdürünün onayından sonra ilçe millî eğitim müdürlüğünce eğitim kurumlarına duyurulmasına ve uygulanma durumunun ilçe zümre başkanı tarafından izlenmesine; sonuçların ikinci dönem başı ve yıl sonu ilçe zümre toplantılarında değerlendirilmesine,</w:t>
      </w:r>
    </w:p>
    <w:p>
      <w:pPr>
        <w:pStyle w:val="BodyTextCustom"/>
        <w:keepNext w:val="0"/>
        <w:ind w:hanging="312" w:left="312"/>
      </w:pPr>
      <w:r>
        <w:rPr>
          <w:rFonts w:ascii="Arial" w:hAnsi="Arial" w:eastAsia="Arial"/>
          <w:b w:val="0"/>
          <w:color w:val="000000"/>
          <w:sz w:val="20"/>
        </w:rPr>
        <w:t>25. Kararların ilçe millî eğitim müdürünün onayından sonra uygulamaya konulmasına; toplantı tutanağının toplantıya katılmayanlar da dâhil tüm üyeler tarafından imzalanarak ilçe millî eğitim müdürlüğünce saklanmasına karar verildi.</w:t>
      </w:r>
    </w:p>
    <w:p>
      <w:pPr>
        <w:pStyle w:val="BodyTextCustom"/>
        <w:spacing w:before="140"/>
      </w:pPr>
      <w:r>
        <w:rPr>
          <w:rFonts w:ascii="Arial" w:hAnsi="Arial" w:eastAsia="Arial"/>
          <w:b/>
          <w:color w:val="000000"/>
          <w:sz w:val="20"/>
        </w:rPr>
        <w:t xml:space="preserve">KARARLARIN ALINMA ŞEKLİ: </w:t>
      </w:r>
      <w:r>
        <w:rPr>
          <w:rFonts w:ascii="Arial" w:hAnsi="Arial" w:eastAsia="Arial"/>
          <w:b w:val="0"/>
          <w:color w:val="000000"/>
          <w:sz w:val="20"/>
        </w:rPr>
        <w:t>……………………………………… (Oy birliği / oy çokluğu)</w:t>
      </w:r>
    </w:p>
    <w:p>
      <w:pPr>
        <w:pStyle w:val="SectionHeading"/>
        <w:keepNext/>
      </w:pPr>
      <w:r>
        <w:rPr>
          <w:rFonts w:ascii="Arial" w:hAnsi="Arial" w:eastAsia="Arial"/>
          <w:b/>
          <w:color w:val="1F4E79"/>
          <w:sz w:val="22"/>
        </w:rPr>
        <w:t>İLÇE FEN BİLİMLERİ ZÜMRE ÜYELERİ İMZA ÇİZELGESİ</w:t>
      </w:r>
    </w:p>
    <w:tbl>
      <w:tblPr>
        <w:tblStyle w:val="TableGrid"/>
        <w:tblW w:type="dxa" w:w="10040"/>
        <w:jc w:val="center"/>
        <w:tblLayout w:type="fixed"/>
        <w:tblLook w:firstColumn="1" w:firstRow="1" w:lastColumn="0" w:lastRow="0" w:noHBand="0" w:noVBand="1" w:val="04A0"/>
      </w:tblPr>
      <w:tblGrid>
        <w:gridCol w:w="700"/>
        <w:gridCol w:w="3000"/>
        <w:gridCol w:w="4940"/>
        <w:gridCol w:w="1400"/>
      </w:tblGrid>
      <w:tr>
        <w:trPr>
          <w:tblHeader w:val="true"/>
        </w:trPr>
        <w:tc>
          <w:tcPr>
            <w:tcW w:type="dxa" w:w="7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Sıra</w:t>
            </w:r>
          </w:p>
        </w:tc>
        <w:tc>
          <w:tcPr>
            <w:tcW w:type="dxa" w:w="30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Adı Soyadı</w:t>
            </w:r>
          </w:p>
        </w:tc>
        <w:tc>
          <w:tcPr>
            <w:tcW w:type="dxa" w:w="494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Görev Yaptığı Okul/Kurum</w:t>
            </w:r>
          </w:p>
        </w:tc>
        <w:tc>
          <w:tcPr>
            <w:tcW w:type="dxa" w:w="1400"/>
            <w:vAlign w:val="center"/>
            <w:tcMar>
              <w:top w:w="80" w:type="dxa"/>
              <w:start w:w="100" w:type="dxa"/>
              <w:bottom w:w="80" w:type="dxa"/>
              <w:end w:w="100" w:type="dxa"/>
            </w:tcMar>
            <w:shd w:fill="B4C7E7"/>
          </w:tcPr>
          <w:p>
            <w:pPr>
              <w:spacing w:after="0" w:before="0" w:line="240" w:lineRule="auto"/>
              <w:jc w:val="center"/>
            </w:pPr>
            <w:r>
              <w:rPr>
                <w:rFonts w:ascii="Arial" w:hAnsi="Arial" w:eastAsia="Arial"/>
                <w:b/>
                <w:color w:val="000000"/>
                <w:sz w:val="18"/>
              </w:rPr>
              <w:t>İmza</w:t>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2</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3</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4</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5</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6</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7</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8</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9</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10</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11</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12</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13</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14</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15</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16</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17</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18</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19</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20</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21</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r>
        <w:tc>
          <w:tcPr>
            <w:tcW w:type="dxa" w:w="700"/>
            <w:vAlign w:val="center"/>
            <w:tcMar>
              <w:top w:w="80" w:type="dxa"/>
              <w:start w:w="100" w:type="dxa"/>
              <w:bottom w:w="80" w:type="dxa"/>
              <w:end w:w="100" w:type="dxa"/>
            </w:tcMar>
          </w:tcPr>
          <w:p>
            <w:pPr>
              <w:spacing w:after="0" w:before="0" w:line="240" w:lineRule="auto"/>
              <w:jc w:val="center"/>
            </w:pPr>
            <w:r>
              <w:rPr>
                <w:rFonts w:ascii="Arial" w:hAnsi="Arial" w:eastAsia="Arial"/>
                <w:b w:val="0"/>
                <w:color w:val="000000"/>
                <w:sz w:val="18"/>
              </w:rPr>
              <w:t>22</w:t>
            </w:r>
          </w:p>
        </w:tc>
        <w:tc>
          <w:tcPr>
            <w:tcW w:type="dxa" w:w="30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494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c>
          <w:tcPr>
            <w:tcW w:type="dxa" w:w="1400"/>
            <w:vAlign w:val="center"/>
            <w:tcMar>
              <w:top w:w="80" w:type="dxa"/>
              <w:start w:w="100" w:type="dxa"/>
              <w:bottom w:w="80" w:type="dxa"/>
              <w:end w:w="100" w:type="dxa"/>
            </w:tcMar>
          </w:tcPr>
          <w:p>
            <w:pPr>
              <w:spacing w:after="0" w:before="0" w:line="240" w:lineRule="auto"/>
              <w:jc w:val="left"/>
            </w:pPr>
            <w:r>
              <w:rPr>
                <w:rFonts w:ascii="Arial" w:hAnsi="Arial" w:eastAsia="Arial"/>
                <w:b w:val="0"/>
                <w:color w:val="000000"/>
                <w:sz w:val="18"/>
              </w:rPr>
            </w:r>
          </w:p>
        </w:tc>
      </w:tr>
    </w:tbl>
    <w:p/>
    <w:tbl>
      <w:tblPr>
        <w:tblW w:type="dxa" w:w="10040"/>
        <w:jc w:val="center"/>
        <w:tblLayout w:type="fixed"/>
        <w:tblLook w:firstColumn="1" w:firstRow="1" w:lastColumn="0" w:lastRow="0" w:noHBand="0" w:noVBand="1" w:val="04A0"/>
      </w:tblPr>
      <w:tblGrid>
        <w:gridCol w:w="5020"/>
        <w:gridCol w:w="5020"/>
      </w:tblGrid>
      <w:tr>
        <w:trPr>
          <w:tblHeader w:val="true"/>
        </w:trPr>
        <w:tc>
          <w:tcPr>
            <w:tcW w:type="dxa" w:w="502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8"/>
              </w:rPr>
              <w:t>İlçe Zümre Başkanı</w:t>
              <w:br/>
              <w:t>Adı Soyadı / İmza</w:t>
            </w:r>
          </w:p>
        </w:tc>
        <w:tc>
          <w:tcPr>
            <w:tcW w:type="dxa" w:w="5020"/>
            <w:vAlign w:val="center"/>
            <w:tcMar>
              <w:top w:w="80" w:type="dxa"/>
              <w:start w:w="100" w:type="dxa"/>
              <w:bottom w:w="80" w:type="dxa"/>
              <w:end w:w="100" w:type="dxa"/>
            </w:tcMar>
          </w:tcPr>
          <w:p>
            <w:pPr>
              <w:spacing w:after="0" w:before="0" w:line="240" w:lineRule="auto"/>
              <w:jc w:val="center"/>
            </w:pPr>
            <w:r>
              <w:rPr>
                <w:rFonts w:ascii="Arial" w:hAnsi="Arial" w:eastAsia="Arial"/>
                <w:b/>
                <w:color w:val="000000"/>
                <w:sz w:val="18"/>
              </w:rPr>
              <w:t>Toplantı Yazmanı</w:t>
              <w:br/>
              <w:t>Adı Soyadı / İmza</w:t>
            </w:r>
          </w:p>
        </w:tc>
      </w:tr>
    </w:tbl>
    <w:p/>
    <w:p>
      <w:pPr>
        <w:spacing w:after="40" w:line="240" w:lineRule="auto"/>
        <w:jc w:val="center"/>
      </w:pPr>
      <w:r>
        <w:rPr>
          <w:rFonts w:ascii="Arial" w:hAnsi="Arial" w:eastAsia="Arial"/>
          <w:b/>
          <w:color w:val="000000"/>
          <w:sz w:val="22"/>
        </w:rPr>
        <w:t>ONAY</w:t>
      </w:r>
    </w:p>
    <w:p>
      <w:pPr>
        <w:spacing w:after="40" w:line="240" w:lineRule="auto"/>
        <w:jc w:val="center"/>
      </w:pPr>
      <w:r>
        <w:rPr>
          <w:rFonts w:ascii="Arial" w:hAnsi="Arial" w:eastAsia="Arial"/>
          <w:b w:val="0"/>
          <w:color w:val="000000"/>
          <w:sz w:val="20"/>
        </w:rPr>
        <w:t>…/…/……</w:t>
      </w:r>
    </w:p>
    <w:p>
      <w:pPr>
        <w:spacing w:after="40" w:line="240" w:lineRule="auto"/>
        <w:jc w:val="center"/>
      </w:pPr>
      <w:r>
        <w:rPr>
          <w:rFonts w:ascii="Arial" w:hAnsi="Arial" w:eastAsia="Arial"/>
          <w:b w:val="0"/>
          <w:color w:val="000000"/>
          <w:sz w:val="20"/>
        </w:rPr>
        <w:t>…………………………………………</w:t>
      </w:r>
    </w:p>
    <w:p>
      <w:pPr>
        <w:spacing w:after="40" w:line="240" w:lineRule="auto"/>
        <w:jc w:val="center"/>
      </w:pPr>
      <w:r>
        <w:rPr>
          <w:rFonts w:ascii="Arial" w:hAnsi="Arial" w:eastAsia="Arial"/>
          <w:b/>
          <w:color w:val="000000"/>
          <w:sz w:val="20"/>
        </w:rPr>
        <w:t>İlçe Millî Eğitim Müdürü</w:t>
      </w:r>
    </w:p>
    <w:sectPr w:rsidR="00FC693F" w:rsidRPr="0006063C" w:rsidSect="00034616">
      <w:headerReference w:type="default" r:id="rId9"/>
      <w:footerReference w:type="default" r:id="rId10"/>
      <w:pgSz w:w="11906" w:h="16838"/>
      <w:pgMar w:top="879" w:right="935" w:bottom="822"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val="0"/>
        <w:color w:val="666666"/>
        <w:sz w:val="16"/>
      </w:rPr>
      <w:t>2026-2027 | Fen Bilimleri İlçe Zümresi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Custom">
    <w:name w:val="BodyTextCustom"/>
    <w:pPr>
      <w:spacing w:after="80" w:line="259" w:lineRule="auto"/>
      <w:jc w:val="both"/>
    </w:pPr>
    <w:rPr>
      <w:rFonts w:ascii="Arial" w:hAnsi="Arial"/>
      <w:sz w:val="20"/>
    </w:rPr>
  </w:style>
  <w:style w:type="paragraph" w:customStyle="1" w:styleId="SectionHeading">
    <w:name w:val="SectionHeading"/>
    <w:pPr>
      <w:spacing w:before="140" w:after="80"/>
    </w:pPr>
    <w:rPr>
      <w:rFonts w:ascii="Arial" w:hAnsi="Arial"/>
      <w:b/>
      <w:color w:val="1F4E79"/>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Fen Bilimleri Dersi Sene Başı İlçe Zümre Toplantısı Tutanağı</dc:title>
  <dc:subject>2026/70 sayılı Genelgeye göre güncellenmiş ilçe zümre tutanağı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